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3643" w14:textId="77777777" w:rsidR="00F94020" w:rsidRPr="00F94020" w:rsidRDefault="00F94020" w:rsidP="00F94020">
      <w:pPr>
        <w:jc w:val="both"/>
        <w:rPr>
          <w:b/>
          <w:bCs/>
        </w:rPr>
      </w:pPr>
      <w:r w:rsidRPr="00F94020">
        <w:rPr>
          <w:b/>
          <w:bCs/>
        </w:rPr>
        <w:t>GUÍA INTEGRAL DE GESTIÓN DE CRÉDITO Y COBRANZA</w:t>
      </w:r>
    </w:p>
    <w:p w14:paraId="1A56640F" w14:textId="77777777" w:rsidR="00F94020" w:rsidRPr="00F94020" w:rsidRDefault="00F94020" w:rsidP="00F94020">
      <w:pPr>
        <w:jc w:val="both"/>
        <w:rPr>
          <w:b/>
          <w:bCs/>
        </w:rPr>
      </w:pPr>
      <w:r w:rsidRPr="00F94020">
        <w:rPr>
          <w:b/>
          <w:bCs/>
        </w:rPr>
        <w:t>Caja de Compensación Familiar de Boyacá - COMFABOY</w:t>
      </w:r>
    </w:p>
    <w:p w14:paraId="7F49645E" w14:textId="77777777" w:rsidR="00F94020" w:rsidRPr="00F94020" w:rsidRDefault="00F94020" w:rsidP="00F94020">
      <w:pPr>
        <w:jc w:val="both"/>
      </w:pPr>
      <w:r w:rsidRPr="00F94020">
        <w:t>Estimado usuario, esta guía ha sido diseñada para brindarle toda la información necesaria sobre el manejo de su crédito con el Fondo de Crédito Social. Conocer estos lineamientos le ayudará a proteger su salud financiera, evitar costos adicionales y mantener un historial crediticio positivo.</w:t>
      </w:r>
    </w:p>
    <w:p w14:paraId="3D9C70F2" w14:textId="77777777" w:rsidR="00F94020" w:rsidRPr="00F94020" w:rsidRDefault="00F94020" w:rsidP="00F94020">
      <w:pPr>
        <w:jc w:val="both"/>
        <w:rPr>
          <w:b/>
          <w:bCs/>
        </w:rPr>
      </w:pPr>
      <w:r w:rsidRPr="00F94020">
        <w:rPr>
          <w:b/>
          <w:bCs/>
        </w:rPr>
        <w:t>1. COMPROMISO Y PAGO OPORTUNO: EL PRIMER PASO</w:t>
      </w:r>
    </w:p>
    <w:p w14:paraId="35A5C510" w14:textId="77777777" w:rsidR="00F94020" w:rsidRPr="00F94020" w:rsidRDefault="00F94020" w:rsidP="00F94020">
      <w:pPr>
        <w:jc w:val="both"/>
      </w:pPr>
      <w:r w:rsidRPr="00F94020">
        <w:t>Al adquirir un crédito con COMFABOY, usted asume un compromiso que es fundamental para la sostenibilidad del fondo, permitiendo que otros trabajadores también se beneficien de esta herramienta de progreso.</w:t>
      </w:r>
    </w:p>
    <w:p w14:paraId="3385C5CA" w14:textId="77777777" w:rsidR="00F94020" w:rsidRPr="00F94020" w:rsidRDefault="00F94020" w:rsidP="00F94020">
      <w:pPr>
        <w:numPr>
          <w:ilvl w:val="0"/>
          <w:numId w:val="1"/>
        </w:numPr>
        <w:jc w:val="both"/>
      </w:pPr>
      <w:r w:rsidRPr="00F94020">
        <w:rPr>
          <w:b/>
          <w:bCs/>
        </w:rPr>
        <w:t>Ventana de pago oportuno:</w:t>
      </w:r>
      <w:r w:rsidRPr="00F94020">
        <w:t xml:space="preserve"> Su cuota mensual es exigible dentro de los 10 primeros días calendario de cada mes. Pagar en este plazo le garantiza mantener su crédito al día y evitar cobros extra.</w:t>
      </w:r>
    </w:p>
    <w:p w14:paraId="2E019B18" w14:textId="77777777" w:rsidR="00F94020" w:rsidRPr="00F94020" w:rsidRDefault="00F94020" w:rsidP="00F94020">
      <w:pPr>
        <w:numPr>
          <w:ilvl w:val="0"/>
          <w:numId w:val="1"/>
        </w:numPr>
        <w:jc w:val="both"/>
      </w:pPr>
      <w:r w:rsidRPr="00F94020">
        <w:rPr>
          <w:b/>
          <w:bCs/>
        </w:rPr>
        <w:t>Intereses de mora:</w:t>
      </w:r>
      <w:r w:rsidRPr="00F94020">
        <w:t xml:space="preserve"> Si el pago se realiza después del día 10, se causarán intereses moratorios diarios, calculados a la tasa máxima permitida por la Superintendencia Financiera.</w:t>
      </w:r>
    </w:p>
    <w:p w14:paraId="0EA7B0DA" w14:textId="77777777" w:rsidR="00F94020" w:rsidRPr="00F94020" w:rsidRDefault="00F94020" w:rsidP="00F94020">
      <w:pPr>
        <w:numPr>
          <w:ilvl w:val="0"/>
          <w:numId w:val="1"/>
        </w:numPr>
        <w:jc w:val="both"/>
      </w:pPr>
      <w:r w:rsidRPr="00F94020">
        <w:rPr>
          <w:b/>
          <w:bCs/>
        </w:rPr>
        <w:t>Responsabilidad de pago personal:</w:t>
      </w:r>
      <w:r w:rsidRPr="00F94020">
        <w:t xml:space="preserve"> Aunque el pago se realice mediante descuento de nómina, usted es el responsable directo de la obligación. Si por cualquier motivo (cambio de empleo, error administrativo, desafiliación) la empresa no realiza el descuento, es su deber realizar el pago personalmente en las oficinas o cuentas autorizadas de COMFABOY.</w:t>
      </w:r>
    </w:p>
    <w:p w14:paraId="52385976" w14:textId="77777777" w:rsidR="00F94020" w:rsidRPr="00F94020" w:rsidRDefault="00F94020" w:rsidP="00F94020">
      <w:pPr>
        <w:jc w:val="both"/>
        <w:rPr>
          <w:b/>
          <w:bCs/>
        </w:rPr>
      </w:pPr>
      <w:r w:rsidRPr="00F94020">
        <w:rPr>
          <w:b/>
          <w:bCs/>
        </w:rPr>
        <w:t>2. CONSECUENCIAS DEL INCUMPLIMIENTO: PROTEJA SU CRÉDITO</w:t>
      </w:r>
    </w:p>
    <w:p w14:paraId="56CCDB88" w14:textId="77777777" w:rsidR="00F94020" w:rsidRPr="00F94020" w:rsidRDefault="00F94020" w:rsidP="00F94020">
      <w:pPr>
        <w:jc w:val="both"/>
      </w:pPr>
      <w:r w:rsidRPr="00F94020">
        <w:t>El retraso en sus pagos activa procesos progresivos diseñados para la recuperación de la cartera. Evitar estas instancias es la mejor manera de proteger sus finanzas.</w:t>
      </w:r>
    </w:p>
    <w:p w14:paraId="0C0EDE2E" w14:textId="77777777" w:rsidR="00F94020" w:rsidRPr="00F94020" w:rsidRDefault="00F94020" w:rsidP="00F94020">
      <w:pPr>
        <w:numPr>
          <w:ilvl w:val="0"/>
          <w:numId w:val="2"/>
        </w:numPr>
        <w:jc w:val="both"/>
      </w:pPr>
      <w:r w:rsidRPr="00F94020">
        <w:rPr>
          <w:b/>
          <w:bCs/>
        </w:rPr>
        <w:t>Bloqueo de servicios:</w:t>
      </w:r>
      <w:r w:rsidRPr="00F94020">
        <w:t xml:space="preserve"> Si su mora supera los 30 días, COMFABOY suspenderá automáticamente su acceso a nuevos créditos y servicios.</w:t>
      </w:r>
    </w:p>
    <w:p w14:paraId="316E4229" w14:textId="77777777" w:rsidR="00F94020" w:rsidRPr="00F94020" w:rsidRDefault="00F94020" w:rsidP="00F94020">
      <w:pPr>
        <w:numPr>
          <w:ilvl w:val="0"/>
          <w:numId w:val="2"/>
        </w:numPr>
        <w:jc w:val="both"/>
      </w:pPr>
      <w:r w:rsidRPr="00F94020">
        <w:rPr>
          <w:b/>
          <w:bCs/>
        </w:rPr>
        <w:t>Gestión por terceros:</w:t>
      </w:r>
      <w:r w:rsidRPr="00F94020">
        <w:t xml:space="preserve"> Cuando la mora se prolonga, COMFABOY delega la gestión de cobro a agencias externas especializadas (como ASESCO BPO S.A.S. para la vigencia 2026).</w:t>
      </w:r>
    </w:p>
    <w:p w14:paraId="6DECE241" w14:textId="77777777" w:rsidR="00F94020" w:rsidRPr="00F94020" w:rsidRDefault="00F94020" w:rsidP="00F94020">
      <w:pPr>
        <w:numPr>
          <w:ilvl w:val="1"/>
          <w:numId w:val="2"/>
        </w:numPr>
        <w:jc w:val="both"/>
      </w:pPr>
      <w:r w:rsidRPr="00F94020">
        <w:rPr>
          <w:b/>
          <w:bCs/>
        </w:rPr>
        <w:t>Desafiliados:</w:t>
      </w:r>
      <w:r w:rsidRPr="00F94020">
        <w:t xml:space="preserve"> A partir del día 61 de mora.</w:t>
      </w:r>
    </w:p>
    <w:p w14:paraId="33B0BCC4" w14:textId="77777777" w:rsidR="00F94020" w:rsidRPr="00F94020" w:rsidRDefault="00F94020" w:rsidP="00F94020">
      <w:pPr>
        <w:numPr>
          <w:ilvl w:val="1"/>
          <w:numId w:val="2"/>
        </w:numPr>
        <w:jc w:val="both"/>
      </w:pPr>
      <w:r w:rsidRPr="00F94020">
        <w:rPr>
          <w:b/>
          <w:bCs/>
        </w:rPr>
        <w:t>Trabajadores Afiliados:</w:t>
      </w:r>
      <w:r w:rsidRPr="00F94020">
        <w:t xml:space="preserve"> A partir del día 91 de mora.</w:t>
      </w:r>
    </w:p>
    <w:p w14:paraId="1E468D70" w14:textId="77777777" w:rsidR="00F94020" w:rsidRPr="00F94020" w:rsidRDefault="00F94020" w:rsidP="00F94020">
      <w:pPr>
        <w:numPr>
          <w:ilvl w:val="0"/>
          <w:numId w:val="2"/>
        </w:numPr>
        <w:jc w:val="both"/>
      </w:pPr>
      <w:r w:rsidRPr="00F94020">
        <w:rPr>
          <w:b/>
          <w:bCs/>
        </w:rPr>
        <w:t>Gastos y Honorarios de Cobranza:</w:t>
      </w:r>
      <w:r w:rsidRPr="00F94020">
        <w:t xml:space="preserve"> Al ser trasladado a una casa de cobranza externa, se generarán honorarios de cobranza y honorarios de abogado. Estos costos adicionales serán asumidos por usted, incrementando el valor total de su deuda. Se causan desde el primer día de traslado.</w:t>
      </w:r>
    </w:p>
    <w:p w14:paraId="13ACBA30" w14:textId="77777777" w:rsidR="00F94020" w:rsidRPr="00F94020" w:rsidRDefault="00F94020" w:rsidP="00F94020">
      <w:pPr>
        <w:jc w:val="both"/>
        <w:rPr>
          <w:b/>
          <w:bCs/>
        </w:rPr>
      </w:pPr>
      <w:r w:rsidRPr="00F94020">
        <w:rPr>
          <w:b/>
          <w:bCs/>
        </w:rPr>
        <w:t>3. COSTOS DE COBRANZA (HONORARIOS EXTERNOS)</w:t>
      </w:r>
    </w:p>
    <w:p w14:paraId="646F7543" w14:textId="77777777" w:rsidR="00F94020" w:rsidRPr="00F94020" w:rsidRDefault="00F94020" w:rsidP="00F94020">
      <w:pPr>
        <w:jc w:val="both"/>
      </w:pPr>
      <w:r w:rsidRPr="00F94020">
        <w:t>Evitar que su deuda sea trasladada a cobranza externa le ahorra cargos adicionales. Estos honorarios se calculan como un porcentaje del valor total del pago realizado, según el tiempo de mora:</w:t>
      </w:r>
    </w:p>
    <w:p w14:paraId="3341B497" w14:textId="77777777" w:rsidR="00F94020" w:rsidRDefault="00F94020" w:rsidP="00F94020">
      <w:pPr>
        <w:jc w:val="both"/>
        <w:rPr>
          <w:b/>
          <w:bCs/>
        </w:rPr>
      </w:pPr>
      <w:r w:rsidRPr="00F94020">
        <w:rPr>
          <w:b/>
          <w:bCs/>
        </w:rPr>
        <w:t>4. MEDIDAS DE RECAUDO ESPECIAL: GARANTÍAS DE COBRO</w:t>
      </w:r>
    </w:p>
    <w:tbl>
      <w:tblPr>
        <w:tblW w:w="5138" w:type="dxa"/>
        <w:jc w:val="center"/>
        <w:tblCellMar>
          <w:left w:w="70" w:type="dxa"/>
          <w:right w:w="70" w:type="dxa"/>
        </w:tblCellMar>
        <w:tblLook w:val="04A0" w:firstRow="1" w:lastRow="0" w:firstColumn="1" w:lastColumn="0" w:noHBand="0" w:noVBand="1"/>
      </w:tblPr>
      <w:tblGrid>
        <w:gridCol w:w="2569"/>
        <w:gridCol w:w="2569"/>
      </w:tblGrid>
      <w:tr w:rsidR="00F94020" w:rsidRPr="00F94020" w14:paraId="1755052D" w14:textId="77777777" w:rsidTr="009A794A">
        <w:trPr>
          <w:trHeight w:val="245"/>
          <w:jc w:val="center"/>
        </w:trPr>
        <w:tc>
          <w:tcPr>
            <w:tcW w:w="2569" w:type="dxa"/>
            <w:tcBorders>
              <w:top w:val="single" w:sz="8" w:space="0" w:color="auto"/>
              <w:left w:val="single" w:sz="8" w:space="0" w:color="auto"/>
              <w:bottom w:val="single" w:sz="8" w:space="0" w:color="auto"/>
              <w:right w:val="single" w:sz="8" w:space="0" w:color="auto"/>
            </w:tcBorders>
            <w:noWrap/>
            <w:vAlign w:val="bottom"/>
            <w:hideMark/>
          </w:tcPr>
          <w:p w14:paraId="4C63C4C3" w14:textId="77777777" w:rsidR="00F94020" w:rsidRPr="00F94020" w:rsidRDefault="00F94020" w:rsidP="00F94020">
            <w:pPr>
              <w:spacing w:after="0" w:line="240" w:lineRule="auto"/>
              <w:jc w:val="center"/>
              <w:rPr>
                <w:rFonts w:ascii="Calibri" w:eastAsia="Times New Roman" w:hAnsi="Calibri" w:cs="Calibri"/>
                <w:b/>
                <w:bCs/>
                <w:color w:val="000000"/>
                <w:lang w:eastAsia="es-CO"/>
              </w:rPr>
            </w:pPr>
            <w:r w:rsidRPr="00F94020">
              <w:rPr>
                <w:rFonts w:ascii="Calibri" w:eastAsia="Times New Roman" w:hAnsi="Calibri" w:cs="Calibri"/>
                <w:b/>
                <w:bCs/>
                <w:color w:val="000000"/>
                <w:lang w:eastAsia="es-CO"/>
              </w:rPr>
              <w:lastRenderedPageBreak/>
              <w:t>Franja de Mora</w:t>
            </w:r>
          </w:p>
        </w:tc>
        <w:tc>
          <w:tcPr>
            <w:tcW w:w="2569" w:type="dxa"/>
            <w:tcBorders>
              <w:top w:val="single" w:sz="8" w:space="0" w:color="auto"/>
              <w:left w:val="nil"/>
              <w:bottom w:val="single" w:sz="8" w:space="0" w:color="auto"/>
              <w:right w:val="single" w:sz="8" w:space="0" w:color="auto"/>
            </w:tcBorders>
            <w:noWrap/>
            <w:vAlign w:val="bottom"/>
            <w:hideMark/>
          </w:tcPr>
          <w:p w14:paraId="2A804E9F" w14:textId="77777777" w:rsidR="00F94020" w:rsidRPr="00F94020" w:rsidRDefault="00F94020" w:rsidP="00F94020">
            <w:pPr>
              <w:spacing w:after="0" w:line="240" w:lineRule="auto"/>
              <w:jc w:val="center"/>
              <w:rPr>
                <w:rFonts w:ascii="Calibri" w:eastAsia="Times New Roman" w:hAnsi="Calibri" w:cs="Calibri"/>
                <w:b/>
                <w:bCs/>
                <w:color w:val="000000"/>
                <w:lang w:eastAsia="es-CO"/>
              </w:rPr>
            </w:pPr>
            <w:r w:rsidRPr="00F94020">
              <w:rPr>
                <w:rFonts w:ascii="Calibri" w:eastAsia="Times New Roman" w:hAnsi="Calibri" w:cs="Calibri"/>
                <w:b/>
                <w:bCs/>
                <w:color w:val="000000"/>
                <w:lang w:eastAsia="es-CO"/>
              </w:rPr>
              <w:t>Tarifas</w:t>
            </w:r>
          </w:p>
        </w:tc>
      </w:tr>
      <w:tr w:rsidR="00F94020" w:rsidRPr="00F94020" w14:paraId="2AD731DE"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33B459E7"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1 a 30 días</w:t>
            </w:r>
          </w:p>
        </w:tc>
        <w:tc>
          <w:tcPr>
            <w:tcW w:w="2569" w:type="dxa"/>
            <w:tcBorders>
              <w:top w:val="nil"/>
              <w:left w:val="nil"/>
              <w:bottom w:val="single" w:sz="4" w:space="0" w:color="auto"/>
              <w:right w:val="single" w:sz="8" w:space="0" w:color="auto"/>
            </w:tcBorders>
            <w:noWrap/>
            <w:vAlign w:val="bottom"/>
            <w:hideMark/>
          </w:tcPr>
          <w:p w14:paraId="28E9C27E"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1% + IVA</w:t>
            </w:r>
          </w:p>
        </w:tc>
      </w:tr>
      <w:tr w:rsidR="00F94020" w:rsidRPr="00F94020" w14:paraId="35C34587"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1CA0E02D"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31 a 60 días</w:t>
            </w:r>
          </w:p>
        </w:tc>
        <w:tc>
          <w:tcPr>
            <w:tcW w:w="2569" w:type="dxa"/>
            <w:tcBorders>
              <w:top w:val="nil"/>
              <w:left w:val="nil"/>
              <w:bottom w:val="single" w:sz="4" w:space="0" w:color="auto"/>
              <w:right w:val="single" w:sz="8" w:space="0" w:color="auto"/>
            </w:tcBorders>
            <w:noWrap/>
            <w:vAlign w:val="bottom"/>
            <w:hideMark/>
          </w:tcPr>
          <w:p w14:paraId="62C4DF9C"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3% + IVA</w:t>
            </w:r>
          </w:p>
        </w:tc>
      </w:tr>
      <w:tr w:rsidR="00F94020" w:rsidRPr="00F94020" w14:paraId="22EA4CDB"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1F4F2E6D"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61 a 90 días</w:t>
            </w:r>
          </w:p>
        </w:tc>
        <w:tc>
          <w:tcPr>
            <w:tcW w:w="2569" w:type="dxa"/>
            <w:tcBorders>
              <w:top w:val="nil"/>
              <w:left w:val="nil"/>
              <w:bottom w:val="single" w:sz="4" w:space="0" w:color="auto"/>
              <w:right w:val="single" w:sz="8" w:space="0" w:color="auto"/>
            </w:tcBorders>
            <w:noWrap/>
            <w:vAlign w:val="bottom"/>
            <w:hideMark/>
          </w:tcPr>
          <w:p w14:paraId="3BB4D208"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5% + IVA</w:t>
            </w:r>
          </w:p>
        </w:tc>
      </w:tr>
      <w:tr w:rsidR="00F94020" w:rsidRPr="00F94020" w14:paraId="5899CA90"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11934022"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91 a 12 días</w:t>
            </w:r>
          </w:p>
        </w:tc>
        <w:tc>
          <w:tcPr>
            <w:tcW w:w="2569" w:type="dxa"/>
            <w:tcBorders>
              <w:top w:val="nil"/>
              <w:left w:val="nil"/>
              <w:bottom w:val="single" w:sz="4" w:space="0" w:color="auto"/>
              <w:right w:val="single" w:sz="8" w:space="0" w:color="auto"/>
            </w:tcBorders>
            <w:noWrap/>
            <w:vAlign w:val="bottom"/>
            <w:hideMark/>
          </w:tcPr>
          <w:p w14:paraId="59101245"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6% + IVA</w:t>
            </w:r>
          </w:p>
        </w:tc>
      </w:tr>
      <w:tr w:rsidR="00F94020" w:rsidRPr="00F94020" w14:paraId="49B89C82"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1EFCECED"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121 a 180 días</w:t>
            </w:r>
          </w:p>
        </w:tc>
        <w:tc>
          <w:tcPr>
            <w:tcW w:w="2569" w:type="dxa"/>
            <w:tcBorders>
              <w:top w:val="nil"/>
              <w:left w:val="nil"/>
              <w:bottom w:val="single" w:sz="4" w:space="0" w:color="auto"/>
              <w:right w:val="single" w:sz="8" w:space="0" w:color="auto"/>
            </w:tcBorders>
            <w:noWrap/>
            <w:vAlign w:val="bottom"/>
            <w:hideMark/>
          </w:tcPr>
          <w:p w14:paraId="681A082D"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10% + IVA</w:t>
            </w:r>
          </w:p>
        </w:tc>
      </w:tr>
      <w:tr w:rsidR="00F94020" w:rsidRPr="00F94020" w14:paraId="312BA92F"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4A591239"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181 a 270 días</w:t>
            </w:r>
          </w:p>
        </w:tc>
        <w:tc>
          <w:tcPr>
            <w:tcW w:w="2569" w:type="dxa"/>
            <w:tcBorders>
              <w:top w:val="nil"/>
              <w:left w:val="nil"/>
              <w:bottom w:val="single" w:sz="4" w:space="0" w:color="auto"/>
              <w:right w:val="single" w:sz="8" w:space="0" w:color="auto"/>
            </w:tcBorders>
            <w:noWrap/>
            <w:vAlign w:val="bottom"/>
            <w:hideMark/>
          </w:tcPr>
          <w:p w14:paraId="561CFD3B"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12% + IVA</w:t>
            </w:r>
          </w:p>
        </w:tc>
      </w:tr>
      <w:tr w:rsidR="00F94020" w:rsidRPr="00F94020" w14:paraId="5C924751"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7306475D"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271 a 360 días</w:t>
            </w:r>
          </w:p>
        </w:tc>
        <w:tc>
          <w:tcPr>
            <w:tcW w:w="2569" w:type="dxa"/>
            <w:tcBorders>
              <w:top w:val="nil"/>
              <w:left w:val="nil"/>
              <w:bottom w:val="single" w:sz="4" w:space="0" w:color="auto"/>
              <w:right w:val="single" w:sz="8" w:space="0" w:color="auto"/>
            </w:tcBorders>
            <w:noWrap/>
            <w:vAlign w:val="bottom"/>
            <w:hideMark/>
          </w:tcPr>
          <w:p w14:paraId="52ECAC13"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20% + IVA</w:t>
            </w:r>
          </w:p>
        </w:tc>
      </w:tr>
      <w:tr w:rsidR="00F94020" w:rsidRPr="00F94020" w14:paraId="01ED57E6" w14:textId="77777777" w:rsidTr="009A794A">
        <w:trPr>
          <w:trHeight w:val="232"/>
          <w:jc w:val="center"/>
        </w:trPr>
        <w:tc>
          <w:tcPr>
            <w:tcW w:w="2569" w:type="dxa"/>
            <w:tcBorders>
              <w:top w:val="nil"/>
              <w:left w:val="single" w:sz="8" w:space="0" w:color="auto"/>
              <w:bottom w:val="single" w:sz="4" w:space="0" w:color="auto"/>
              <w:right w:val="single" w:sz="8" w:space="0" w:color="auto"/>
            </w:tcBorders>
            <w:noWrap/>
            <w:vAlign w:val="bottom"/>
            <w:hideMark/>
          </w:tcPr>
          <w:p w14:paraId="72C6D646"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Mayor a 360 días</w:t>
            </w:r>
          </w:p>
        </w:tc>
        <w:tc>
          <w:tcPr>
            <w:tcW w:w="2569" w:type="dxa"/>
            <w:tcBorders>
              <w:top w:val="nil"/>
              <w:left w:val="nil"/>
              <w:bottom w:val="single" w:sz="4" w:space="0" w:color="auto"/>
              <w:right w:val="single" w:sz="8" w:space="0" w:color="auto"/>
            </w:tcBorders>
            <w:noWrap/>
            <w:vAlign w:val="bottom"/>
            <w:hideMark/>
          </w:tcPr>
          <w:p w14:paraId="51173231"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25% + IVA</w:t>
            </w:r>
          </w:p>
        </w:tc>
      </w:tr>
      <w:tr w:rsidR="00F94020" w:rsidRPr="00F94020" w14:paraId="62AC92A8" w14:textId="77777777" w:rsidTr="009A794A">
        <w:trPr>
          <w:trHeight w:val="245"/>
          <w:jc w:val="center"/>
        </w:trPr>
        <w:tc>
          <w:tcPr>
            <w:tcW w:w="2569" w:type="dxa"/>
            <w:tcBorders>
              <w:top w:val="nil"/>
              <w:left w:val="single" w:sz="8" w:space="0" w:color="auto"/>
              <w:bottom w:val="single" w:sz="8" w:space="0" w:color="auto"/>
              <w:right w:val="single" w:sz="8" w:space="0" w:color="auto"/>
            </w:tcBorders>
            <w:noWrap/>
            <w:vAlign w:val="bottom"/>
            <w:hideMark/>
          </w:tcPr>
          <w:p w14:paraId="0951BAB8"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Cartera Castigada</w:t>
            </w:r>
          </w:p>
        </w:tc>
        <w:tc>
          <w:tcPr>
            <w:tcW w:w="2569" w:type="dxa"/>
            <w:tcBorders>
              <w:top w:val="nil"/>
              <w:left w:val="nil"/>
              <w:bottom w:val="single" w:sz="8" w:space="0" w:color="auto"/>
              <w:right w:val="single" w:sz="8" w:space="0" w:color="auto"/>
            </w:tcBorders>
            <w:noWrap/>
            <w:vAlign w:val="bottom"/>
            <w:hideMark/>
          </w:tcPr>
          <w:p w14:paraId="1F74E61C" w14:textId="77777777" w:rsidR="00F94020" w:rsidRPr="00F94020" w:rsidRDefault="00F94020" w:rsidP="00F94020">
            <w:pPr>
              <w:spacing w:after="0" w:line="240" w:lineRule="auto"/>
              <w:jc w:val="center"/>
              <w:rPr>
                <w:rFonts w:ascii="Calibri" w:eastAsia="Times New Roman" w:hAnsi="Calibri" w:cs="Calibri"/>
                <w:color w:val="000000"/>
                <w:lang w:eastAsia="es-CO"/>
              </w:rPr>
            </w:pPr>
            <w:r w:rsidRPr="00F94020">
              <w:rPr>
                <w:rFonts w:ascii="Calibri" w:eastAsia="Times New Roman" w:hAnsi="Calibri" w:cs="Calibri"/>
                <w:color w:val="000000"/>
                <w:lang w:eastAsia="es-CO"/>
              </w:rPr>
              <w:t>30% + IVA</w:t>
            </w:r>
          </w:p>
        </w:tc>
      </w:tr>
    </w:tbl>
    <w:p w14:paraId="4C89E378" w14:textId="77777777" w:rsidR="00F94020" w:rsidRPr="00F94020" w:rsidRDefault="00F94020" w:rsidP="00F94020">
      <w:pPr>
        <w:jc w:val="both"/>
        <w:rPr>
          <w:b/>
          <w:bCs/>
        </w:rPr>
      </w:pPr>
    </w:p>
    <w:p w14:paraId="7AB9C55E" w14:textId="77777777" w:rsidR="00F94020" w:rsidRPr="00F94020" w:rsidRDefault="00F94020" w:rsidP="00F94020">
      <w:pPr>
        <w:jc w:val="both"/>
      </w:pPr>
      <w:r w:rsidRPr="00F94020">
        <w:t>COMFABOY cuenta con mecanismos legales para asegurar la recuperación de los recursos del Fondo de Crédito Social:</w:t>
      </w:r>
    </w:p>
    <w:p w14:paraId="43D5900C" w14:textId="77777777" w:rsidR="00F94020" w:rsidRPr="00F94020" w:rsidRDefault="00F94020" w:rsidP="00F94020">
      <w:pPr>
        <w:numPr>
          <w:ilvl w:val="0"/>
          <w:numId w:val="3"/>
        </w:numPr>
        <w:jc w:val="both"/>
      </w:pPr>
      <w:r w:rsidRPr="00F94020">
        <w:rPr>
          <w:b/>
          <w:bCs/>
        </w:rPr>
        <w:t>Liquidaciones y prestaciones sociales:</w:t>
      </w:r>
      <w:r w:rsidRPr="00F94020">
        <w:t xml:space="preserve"> En caso de terminación de su vínculo laboral, la empresa está obligada a descontar el saldo total de la deuda de sus prestaciones sociales, liquidación, indemnizaciones o bonificaciones.</w:t>
      </w:r>
    </w:p>
    <w:p w14:paraId="73040196" w14:textId="77F1CFBF" w:rsidR="00F94020" w:rsidRPr="00F94020" w:rsidRDefault="00F94020" w:rsidP="00F94020">
      <w:pPr>
        <w:numPr>
          <w:ilvl w:val="0"/>
          <w:numId w:val="3"/>
        </w:numPr>
        <w:jc w:val="both"/>
      </w:pPr>
      <w:r w:rsidRPr="00F94020">
        <w:rPr>
          <w:b/>
          <w:bCs/>
        </w:rPr>
        <w:t>Cesantías y Subsidios:</w:t>
      </w:r>
      <w:r w:rsidRPr="00F94020">
        <w:t xml:space="preserve"> COMFABOY está autorizado para descontar de su subsidio monetario y extraordinario para cubrir la deuda pendiente.</w:t>
      </w:r>
    </w:p>
    <w:p w14:paraId="7BBDC08A" w14:textId="77777777" w:rsidR="00F94020" w:rsidRPr="00F94020" w:rsidRDefault="00F94020" w:rsidP="00F94020">
      <w:pPr>
        <w:numPr>
          <w:ilvl w:val="0"/>
          <w:numId w:val="3"/>
        </w:numPr>
        <w:jc w:val="both"/>
      </w:pPr>
      <w:r w:rsidRPr="00F94020">
        <w:rPr>
          <w:b/>
          <w:bCs/>
        </w:rPr>
        <w:t>Cláusula Aceleratoria:</w:t>
      </w:r>
      <w:r w:rsidRPr="00F94020">
        <w:t xml:space="preserve"> La pérdida de su calidad de empleado o la desafiliación de su empresa a la Caja faculta a COMFABOY para exigir el pago inmediato de la totalidad de la deuda, no solo de las cuotas atrasadas.</w:t>
      </w:r>
    </w:p>
    <w:p w14:paraId="39906173" w14:textId="77777777" w:rsidR="00F94020" w:rsidRPr="00F94020" w:rsidRDefault="00F94020" w:rsidP="00F94020">
      <w:pPr>
        <w:jc w:val="both"/>
        <w:rPr>
          <w:b/>
          <w:bCs/>
        </w:rPr>
      </w:pPr>
      <w:r w:rsidRPr="00F94020">
        <w:rPr>
          <w:b/>
          <w:bCs/>
        </w:rPr>
        <w:t>5. ¿CÓMO SOLUCIONAR SU SITUACIÓN?</w:t>
      </w:r>
    </w:p>
    <w:p w14:paraId="72F7413B" w14:textId="77777777" w:rsidR="00F94020" w:rsidRPr="00F94020" w:rsidRDefault="00F94020" w:rsidP="00F94020">
      <w:pPr>
        <w:jc w:val="both"/>
      </w:pPr>
      <w:r w:rsidRPr="00F94020">
        <w:t>No espere a que su situación sea manejada por instancias judiciales. Actúe a tiempo para encontrar soluciones que se ajusten a su realidad.</w:t>
      </w:r>
    </w:p>
    <w:p w14:paraId="128E6714" w14:textId="77777777" w:rsidR="00F94020" w:rsidRPr="00F94020" w:rsidRDefault="00F94020" w:rsidP="00F94020">
      <w:pPr>
        <w:numPr>
          <w:ilvl w:val="0"/>
          <w:numId w:val="4"/>
        </w:numPr>
        <w:jc w:val="both"/>
      </w:pPr>
      <w:r w:rsidRPr="00F94020">
        <w:rPr>
          <w:b/>
          <w:bCs/>
        </w:rPr>
        <w:t>Campañas de Normalización:</w:t>
      </w:r>
      <w:r w:rsidRPr="00F94020">
        <w:t xml:space="preserve"> Manténgase informado sobre campañas de condonación de intereses de mora para deudas mayores a 360 días. Es una oportunidad para sanear su crédito pagando el capital e intereses corrientes.</w:t>
      </w:r>
    </w:p>
    <w:p w14:paraId="7C151A71" w14:textId="77777777" w:rsidR="00F94020" w:rsidRPr="00F94020" w:rsidRDefault="00F94020" w:rsidP="00F94020">
      <w:pPr>
        <w:numPr>
          <w:ilvl w:val="0"/>
          <w:numId w:val="4"/>
        </w:numPr>
        <w:jc w:val="both"/>
      </w:pPr>
      <w:r w:rsidRPr="00F94020">
        <w:rPr>
          <w:b/>
          <w:bCs/>
        </w:rPr>
        <w:t>Canales de pago oficiales:</w:t>
      </w:r>
      <w:r w:rsidRPr="00F94020">
        <w:t xml:space="preserve"> Realice sus pagos únicamente a través de los canales autorizados para asegurar que su dinero sea aplicado correctamente a su deuda:</w:t>
      </w:r>
    </w:p>
    <w:p w14:paraId="50A45963" w14:textId="77777777" w:rsidR="00F94020" w:rsidRPr="00F94020" w:rsidRDefault="00F94020" w:rsidP="00F94020">
      <w:pPr>
        <w:numPr>
          <w:ilvl w:val="1"/>
          <w:numId w:val="4"/>
        </w:numPr>
        <w:jc w:val="both"/>
      </w:pPr>
      <w:r w:rsidRPr="00F94020">
        <w:rPr>
          <w:b/>
          <w:bCs/>
        </w:rPr>
        <w:t>Botón PSE (pago inmediato y seguro):</w:t>
      </w:r>
      <w:r w:rsidRPr="00F94020">
        <w:t xml:space="preserve"> </w:t>
      </w:r>
      <w:hyperlink r:id="rId5" w:tgtFrame="_blank" w:history="1">
        <w:r w:rsidRPr="00F94020">
          <w:rPr>
            <w:rStyle w:val="Hipervnculo"/>
          </w:rPr>
          <w:t>https://www.comfaboy.com.co/pagonline/login/login.faces</w:t>
        </w:r>
      </w:hyperlink>
    </w:p>
    <w:p w14:paraId="4C05FA04" w14:textId="77777777" w:rsidR="00F94020" w:rsidRPr="00F94020" w:rsidRDefault="00F94020" w:rsidP="00F94020">
      <w:pPr>
        <w:numPr>
          <w:ilvl w:val="1"/>
          <w:numId w:val="4"/>
        </w:numPr>
        <w:jc w:val="both"/>
      </w:pPr>
      <w:r w:rsidRPr="00F94020">
        <w:rPr>
          <w:b/>
          <w:bCs/>
        </w:rPr>
        <w:t>Recaudo Referenciado (recibo con código de barras):</w:t>
      </w:r>
      <w:r w:rsidRPr="00F94020">
        <w:t xml:space="preserve"> Genere su soporte en: </w:t>
      </w:r>
      <w:hyperlink r:id="rId6" w:tgtFrame="_blank" w:history="1">
        <w:r w:rsidRPr="00F94020">
          <w:rPr>
            <w:rStyle w:val="Hipervnculo"/>
          </w:rPr>
          <w:t>https://www.comfaboy.com.co/aplicaciones/bancos/</w:t>
        </w:r>
      </w:hyperlink>
    </w:p>
    <w:p w14:paraId="1C553722" w14:textId="69CE80B7" w:rsidR="00F94020" w:rsidRPr="00F94020" w:rsidRDefault="003A5581" w:rsidP="00F94020">
      <w:pPr>
        <w:numPr>
          <w:ilvl w:val="0"/>
          <w:numId w:val="4"/>
        </w:numPr>
        <w:jc w:val="both"/>
      </w:pPr>
      <w:r>
        <w:rPr>
          <w:b/>
          <w:bCs/>
        </w:rPr>
        <w:t xml:space="preserve">Casa de cobranza autorizada por </w:t>
      </w:r>
      <w:proofErr w:type="spellStart"/>
      <w:r>
        <w:rPr>
          <w:b/>
          <w:bCs/>
        </w:rPr>
        <w:t>Comfaboy</w:t>
      </w:r>
      <w:proofErr w:type="spellEnd"/>
      <w:r w:rsidR="00F94020" w:rsidRPr="00F94020">
        <w:rPr>
          <w:b/>
          <w:bCs/>
        </w:rPr>
        <w:t xml:space="preserve"> (Vigencia 2026):</w:t>
      </w:r>
    </w:p>
    <w:p w14:paraId="0C30D85D" w14:textId="77777777" w:rsidR="00F94020" w:rsidRPr="00F94020" w:rsidRDefault="00F94020" w:rsidP="00F94020">
      <w:pPr>
        <w:numPr>
          <w:ilvl w:val="1"/>
          <w:numId w:val="4"/>
        </w:numPr>
        <w:jc w:val="both"/>
      </w:pPr>
      <w:r w:rsidRPr="00F94020">
        <w:rPr>
          <w:b/>
          <w:bCs/>
        </w:rPr>
        <w:t>Casa de Cobranza Autorizada:</w:t>
      </w:r>
      <w:r w:rsidRPr="00F94020">
        <w:t xml:space="preserve"> ASESCO BPO S.A.S.</w:t>
      </w:r>
    </w:p>
    <w:p w14:paraId="48E9266D" w14:textId="77777777" w:rsidR="00F94020" w:rsidRPr="00F94020" w:rsidRDefault="00F94020" w:rsidP="00F94020">
      <w:pPr>
        <w:numPr>
          <w:ilvl w:val="1"/>
          <w:numId w:val="4"/>
        </w:numPr>
        <w:jc w:val="both"/>
      </w:pPr>
      <w:r w:rsidRPr="00F94020">
        <w:rPr>
          <w:b/>
          <w:bCs/>
        </w:rPr>
        <w:t>Teléfonos de contacto:</w:t>
      </w:r>
      <w:r w:rsidRPr="00F94020">
        <w:t xml:space="preserve"> 304 439 0461 / 302 330 6799</w:t>
      </w:r>
    </w:p>
    <w:p w14:paraId="3373F7BE" w14:textId="77777777" w:rsidR="00F94020" w:rsidRPr="00F94020" w:rsidRDefault="00F94020" w:rsidP="00F94020">
      <w:pPr>
        <w:numPr>
          <w:ilvl w:val="1"/>
          <w:numId w:val="4"/>
        </w:numPr>
        <w:jc w:val="both"/>
      </w:pPr>
      <w:r w:rsidRPr="00F94020">
        <w:rPr>
          <w:b/>
          <w:bCs/>
        </w:rPr>
        <w:t>Correo Electrónico:</w:t>
      </w:r>
      <w:r w:rsidRPr="00F94020">
        <w:t xml:space="preserve"> servicioalcliente@asescobpo.com</w:t>
      </w:r>
    </w:p>
    <w:p w14:paraId="02F40D31" w14:textId="77777777" w:rsidR="00F94020" w:rsidRPr="00F94020" w:rsidRDefault="00F94020" w:rsidP="00F94020">
      <w:pPr>
        <w:numPr>
          <w:ilvl w:val="1"/>
          <w:numId w:val="4"/>
        </w:numPr>
        <w:jc w:val="both"/>
      </w:pPr>
      <w:r w:rsidRPr="00F94020">
        <w:rPr>
          <w:b/>
          <w:bCs/>
        </w:rPr>
        <w:lastRenderedPageBreak/>
        <w:t>Horario de atención:</w:t>
      </w:r>
      <w:r w:rsidRPr="00F94020">
        <w:t xml:space="preserve"> </w:t>
      </w:r>
      <w:proofErr w:type="gramStart"/>
      <w:r w:rsidRPr="00F94020">
        <w:t>Lunes</w:t>
      </w:r>
      <w:proofErr w:type="gramEnd"/>
      <w:r w:rsidRPr="00F94020">
        <w:t xml:space="preserve"> a viernes 8:00 a.m. - 6:00 p.m. / </w:t>
      </w:r>
      <w:proofErr w:type="gramStart"/>
      <w:r w:rsidRPr="00F94020">
        <w:t>Sábados</w:t>
      </w:r>
      <w:proofErr w:type="gramEnd"/>
      <w:r w:rsidRPr="00F94020">
        <w:t xml:space="preserve"> 8:00 a.m. - 12:00 m.</w:t>
      </w:r>
    </w:p>
    <w:p w14:paraId="67AACA1E" w14:textId="77777777" w:rsidR="00F94020" w:rsidRPr="00F94020" w:rsidRDefault="00F94020" w:rsidP="00F94020">
      <w:pPr>
        <w:jc w:val="both"/>
      </w:pPr>
      <w:r w:rsidRPr="00F94020">
        <w:pict w14:anchorId="6583EDD7">
          <v:rect id="_x0000_i1031" style="width:0;height:1.5pt" o:hralign="center" o:hrstd="t" o:hr="t" fillcolor="#a0a0a0" stroked="f"/>
        </w:pict>
      </w:r>
    </w:p>
    <w:p w14:paraId="1E18DF62" w14:textId="77777777" w:rsidR="00F94020" w:rsidRPr="00F94020" w:rsidRDefault="00F94020" w:rsidP="00F94020">
      <w:pPr>
        <w:jc w:val="both"/>
      </w:pPr>
      <w:r w:rsidRPr="00F94020">
        <w:rPr>
          <w:i/>
          <w:iCs/>
        </w:rPr>
        <w:t xml:space="preserve">Recuerde: Su crédito es una herramienta de progreso. Mantenerlo al día </w:t>
      </w:r>
      <w:proofErr w:type="gramStart"/>
      <w:r w:rsidRPr="00F94020">
        <w:rPr>
          <w:i/>
          <w:iCs/>
        </w:rPr>
        <w:t>le</w:t>
      </w:r>
      <w:proofErr w:type="gramEnd"/>
      <w:r w:rsidRPr="00F94020">
        <w:rPr>
          <w:i/>
          <w:iCs/>
        </w:rPr>
        <w:t xml:space="preserve"> garantiza acceso continuo a los beneficios de la Caja, protege su historial crediticio y evita procesos de cobranza judicial que afectan su estabilidad financiera. ¡Cuenta con nosotros!</w:t>
      </w:r>
    </w:p>
    <w:p w14:paraId="02CC232D" w14:textId="77777777" w:rsidR="00472F7E" w:rsidRDefault="00472F7E" w:rsidP="00F94020">
      <w:pPr>
        <w:jc w:val="both"/>
      </w:pPr>
    </w:p>
    <w:sectPr w:rsidR="00472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139"/>
    <w:multiLevelType w:val="multilevel"/>
    <w:tmpl w:val="6660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97709"/>
    <w:multiLevelType w:val="multilevel"/>
    <w:tmpl w:val="C0C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364F7"/>
    <w:multiLevelType w:val="multilevel"/>
    <w:tmpl w:val="6AE8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8323A"/>
    <w:multiLevelType w:val="multilevel"/>
    <w:tmpl w:val="3D901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803903">
    <w:abstractNumId w:val="1"/>
  </w:num>
  <w:num w:numId="2" w16cid:durableId="1312447719">
    <w:abstractNumId w:val="3"/>
  </w:num>
  <w:num w:numId="3" w16cid:durableId="715004903">
    <w:abstractNumId w:val="2"/>
  </w:num>
  <w:num w:numId="4" w16cid:durableId="47645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20"/>
    <w:rsid w:val="00002D48"/>
    <w:rsid w:val="003A5581"/>
    <w:rsid w:val="00472F7E"/>
    <w:rsid w:val="009A794A"/>
    <w:rsid w:val="009B4A47"/>
    <w:rsid w:val="00F06A66"/>
    <w:rsid w:val="00F940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15DC"/>
  <w15:chartTrackingRefBased/>
  <w15:docId w15:val="{2F1CE5A1-37D5-45C5-A579-6BDCC873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4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94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9402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9402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9402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940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40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40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40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402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9402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9402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9402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9402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940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40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40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4020"/>
    <w:rPr>
      <w:rFonts w:eastAsiaTheme="majorEastAsia" w:cstheme="majorBidi"/>
      <w:color w:val="272727" w:themeColor="text1" w:themeTint="D8"/>
    </w:rPr>
  </w:style>
  <w:style w:type="paragraph" w:styleId="Ttulo">
    <w:name w:val="Title"/>
    <w:basedOn w:val="Normal"/>
    <w:next w:val="Normal"/>
    <w:link w:val="TtuloCar"/>
    <w:uiPriority w:val="10"/>
    <w:qFormat/>
    <w:rsid w:val="00F9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40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40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40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4020"/>
    <w:pPr>
      <w:spacing w:before="160"/>
      <w:jc w:val="center"/>
    </w:pPr>
    <w:rPr>
      <w:i/>
      <w:iCs/>
      <w:color w:val="404040" w:themeColor="text1" w:themeTint="BF"/>
    </w:rPr>
  </w:style>
  <w:style w:type="character" w:customStyle="1" w:styleId="CitaCar">
    <w:name w:val="Cita Car"/>
    <w:basedOn w:val="Fuentedeprrafopredeter"/>
    <w:link w:val="Cita"/>
    <w:uiPriority w:val="29"/>
    <w:rsid w:val="00F94020"/>
    <w:rPr>
      <w:i/>
      <w:iCs/>
      <w:color w:val="404040" w:themeColor="text1" w:themeTint="BF"/>
    </w:rPr>
  </w:style>
  <w:style w:type="paragraph" w:styleId="Prrafodelista">
    <w:name w:val="List Paragraph"/>
    <w:basedOn w:val="Normal"/>
    <w:uiPriority w:val="34"/>
    <w:qFormat/>
    <w:rsid w:val="00F94020"/>
    <w:pPr>
      <w:ind w:left="720"/>
      <w:contextualSpacing/>
    </w:pPr>
  </w:style>
  <w:style w:type="character" w:styleId="nfasisintenso">
    <w:name w:val="Intense Emphasis"/>
    <w:basedOn w:val="Fuentedeprrafopredeter"/>
    <w:uiPriority w:val="21"/>
    <w:qFormat/>
    <w:rsid w:val="00F94020"/>
    <w:rPr>
      <w:i/>
      <w:iCs/>
      <w:color w:val="2F5496" w:themeColor="accent1" w:themeShade="BF"/>
    </w:rPr>
  </w:style>
  <w:style w:type="paragraph" w:styleId="Citadestacada">
    <w:name w:val="Intense Quote"/>
    <w:basedOn w:val="Normal"/>
    <w:next w:val="Normal"/>
    <w:link w:val="CitadestacadaCar"/>
    <w:uiPriority w:val="30"/>
    <w:qFormat/>
    <w:rsid w:val="00F94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94020"/>
    <w:rPr>
      <w:i/>
      <w:iCs/>
      <w:color w:val="2F5496" w:themeColor="accent1" w:themeShade="BF"/>
    </w:rPr>
  </w:style>
  <w:style w:type="character" w:styleId="Referenciaintensa">
    <w:name w:val="Intense Reference"/>
    <w:basedOn w:val="Fuentedeprrafopredeter"/>
    <w:uiPriority w:val="32"/>
    <w:qFormat/>
    <w:rsid w:val="00F94020"/>
    <w:rPr>
      <w:b/>
      <w:bCs/>
      <w:smallCaps/>
      <w:color w:val="2F5496" w:themeColor="accent1" w:themeShade="BF"/>
      <w:spacing w:val="5"/>
    </w:rPr>
  </w:style>
  <w:style w:type="character" w:styleId="Hipervnculo">
    <w:name w:val="Hyperlink"/>
    <w:basedOn w:val="Fuentedeprrafopredeter"/>
    <w:uiPriority w:val="99"/>
    <w:unhideWhenUsed/>
    <w:rsid w:val="00F94020"/>
    <w:rPr>
      <w:color w:val="0563C1" w:themeColor="hyperlink"/>
      <w:u w:val="single"/>
    </w:rPr>
  </w:style>
  <w:style w:type="character" w:styleId="Mencinsinresolver">
    <w:name w:val="Unresolved Mention"/>
    <w:basedOn w:val="Fuentedeprrafopredeter"/>
    <w:uiPriority w:val="99"/>
    <w:semiHidden/>
    <w:unhideWhenUsed/>
    <w:rsid w:val="00F94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faboy.com.co/aplicaciones/bancos/" TargetMode="External"/><Relationship Id="rId5" Type="http://schemas.openxmlformats.org/officeDocument/2006/relationships/hyperlink" Target="https://www.comfaboy.com.co/pagonline/login/login.fac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Barajas</dc:creator>
  <cp:keywords/>
  <dc:description/>
  <cp:lastModifiedBy>Manuel Barajas</cp:lastModifiedBy>
  <cp:revision>3</cp:revision>
  <dcterms:created xsi:type="dcterms:W3CDTF">2026-04-24T16:37:00Z</dcterms:created>
  <dcterms:modified xsi:type="dcterms:W3CDTF">2026-04-24T17:25:00Z</dcterms:modified>
</cp:coreProperties>
</file>