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90BC" w14:textId="77777777" w:rsidR="007D34D0" w:rsidRPr="007D34D0" w:rsidRDefault="007D34D0" w:rsidP="007D34D0">
      <w:pPr>
        <w:jc w:val="center"/>
        <w:rPr>
          <w:b/>
          <w:bCs/>
        </w:rPr>
      </w:pPr>
      <w:r w:rsidRPr="007D34D0">
        <w:rPr>
          <w:b/>
          <w:bCs/>
        </w:rPr>
        <w:t>POLÍTICA INTEGRAL DE GESTIÓN DE CARTERA Y COBRANZA</w:t>
      </w:r>
    </w:p>
    <w:p w14:paraId="79F25F59" w14:textId="77777777" w:rsidR="007D34D0" w:rsidRPr="007D34D0" w:rsidRDefault="007D34D0" w:rsidP="007D34D0">
      <w:pPr>
        <w:jc w:val="center"/>
      </w:pPr>
      <w:r w:rsidRPr="007D34D0">
        <w:rPr>
          <w:b/>
          <w:bCs/>
        </w:rPr>
        <w:t>CAJA DE COMPENSACIÓN FAMILIAR DE BOYACÁ - COMFABOY</w:t>
      </w:r>
    </w:p>
    <w:p w14:paraId="6240DE7A" w14:textId="77777777" w:rsidR="007D34D0" w:rsidRPr="007D34D0" w:rsidRDefault="007D34D0" w:rsidP="007D34D0">
      <w:pPr>
        <w:jc w:val="both"/>
      </w:pPr>
      <w:r w:rsidRPr="007D34D0">
        <w:t>Basado en el Manual de Prestación de Servicios de Crédito Social de COMFABOY, se establece la siguiente política de cobranza para garantizar la recuperación efectiva de la cartera y la sostenibilidad del fondo:</w:t>
      </w:r>
    </w:p>
    <w:p w14:paraId="6DA3E5FA" w14:textId="77777777" w:rsidR="007D34D0" w:rsidRPr="007D34D0" w:rsidRDefault="007D34D0" w:rsidP="007D34D0">
      <w:pPr>
        <w:jc w:val="both"/>
        <w:rPr>
          <w:b/>
          <w:bCs/>
        </w:rPr>
      </w:pPr>
      <w:r w:rsidRPr="007D34D0">
        <w:rPr>
          <w:b/>
          <w:bCs/>
        </w:rPr>
        <w:t>1. MARCO LEGAL Y ALCANCE</w:t>
      </w:r>
    </w:p>
    <w:p w14:paraId="43BAAB18" w14:textId="771564B6" w:rsidR="007D34D0" w:rsidRPr="007D34D0" w:rsidRDefault="007D34D0" w:rsidP="007D34D0">
      <w:pPr>
        <w:jc w:val="both"/>
      </w:pPr>
      <w:r w:rsidRPr="007D34D0">
        <w:t xml:space="preserve">La presente política establece los lineamientos para la recuperación de obligaciones crediticias de la Caja, fundamentada en la </w:t>
      </w:r>
      <w:r w:rsidRPr="007D34D0">
        <w:rPr>
          <w:b/>
          <w:bCs/>
        </w:rPr>
        <w:t>Ley 1527 de 2012</w:t>
      </w:r>
      <w:r w:rsidR="00FE512F">
        <w:rPr>
          <w:b/>
          <w:bCs/>
        </w:rPr>
        <w:t xml:space="preserve"> y 1902 de 2018</w:t>
      </w:r>
      <w:r w:rsidRPr="007D34D0">
        <w:t xml:space="preserve"> (Libranza), la </w:t>
      </w:r>
      <w:r w:rsidRPr="007D34D0">
        <w:rPr>
          <w:b/>
          <w:bCs/>
        </w:rPr>
        <w:t>Ley 1266 de 2008</w:t>
      </w:r>
      <w:r w:rsidRPr="007D34D0">
        <w:t xml:space="preserve"> y </w:t>
      </w:r>
      <w:r w:rsidRPr="007D34D0">
        <w:rPr>
          <w:b/>
          <w:bCs/>
        </w:rPr>
        <w:t>Ley 2157 de 2021</w:t>
      </w:r>
      <w:r w:rsidRPr="007D34D0">
        <w:t xml:space="preserve"> (Habeas Data)</w:t>
      </w:r>
      <w:r w:rsidR="007D7726">
        <w:t xml:space="preserve">. </w:t>
      </w:r>
      <w:r w:rsidRPr="007D34D0">
        <w:t>Esta regulación vincula al deudor y codeudores mediante la aceptación de los reglamentos que rigen el crédito.</w:t>
      </w:r>
    </w:p>
    <w:p w14:paraId="752FDD19" w14:textId="77777777" w:rsidR="007D34D0" w:rsidRPr="007D34D0" w:rsidRDefault="007D34D0" w:rsidP="007D34D0">
      <w:pPr>
        <w:jc w:val="both"/>
        <w:rPr>
          <w:b/>
          <w:bCs/>
        </w:rPr>
      </w:pPr>
      <w:r w:rsidRPr="007D34D0">
        <w:rPr>
          <w:b/>
          <w:bCs/>
        </w:rPr>
        <w:t>2. DISPOSICIONES GENERALES Y OPORTUNIDAD DE PAGO</w:t>
      </w:r>
    </w:p>
    <w:p w14:paraId="48420C2E" w14:textId="77777777" w:rsidR="007D34D0" w:rsidRPr="007D34D0" w:rsidRDefault="007D34D0" w:rsidP="007D34D0">
      <w:pPr>
        <w:numPr>
          <w:ilvl w:val="0"/>
          <w:numId w:val="1"/>
        </w:numPr>
        <w:jc w:val="both"/>
      </w:pPr>
      <w:r w:rsidRPr="007D34D0">
        <w:rPr>
          <w:b/>
          <w:bCs/>
        </w:rPr>
        <w:t>Inicio de recuperación:</w:t>
      </w:r>
      <w:r w:rsidRPr="007D34D0">
        <w:t xml:space="preserve"> El cobro de las cuotas (capital, intereses y seguros) inicia al mes siguiente de la fecha en que se realice el desembolso.</w:t>
      </w:r>
    </w:p>
    <w:p w14:paraId="53925560" w14:textId="77777777" w:rsidR="007D34D0" w:rsidRPr="007D34D0" w:rsidRDefault="007D34D0" w:rsidP="007D34D0">
      <w:pPr>
        <w:numPr>
          <w:ilvl w:val="0"/>
          <w:numId w:val="1"/>
        </w:numPr>
        <w:jc w:val="both"/>
      </w:pPr>
      <w:r w:rsidRPr="007D34D0">
        <w:rPr>
          <w:b/>
          <w:bCs/>
        </w:rPr>
        <w:t>Plazo de pago oportuno:</w:t>
      </w:r>
      <w:r w:rsidRPr="007D34D0">
        <w:t xml:space="preserve"> Se considera pago oportuno el realizado dentro de los diez (10) primeros días calendario de cada mes.</w:t>
      </w:r>
    </w:p>
    <w:p w14:paraId="2FE22176" w14:textId="7759F8A5" w:rsidR="007D34D0" w:rsidRDefault="007D34D0" w:rsidP="007D34D0">
      <w:pPr>
        <w:numPr>
          <w:ilvl w:val="0"/>
          <w:numId w:val="1"/>
        </w:numPr>
        <w:jc w:val="both"/>
      </w:pPr>
      <w:r w:rsidRPr="007D34D0">
        <w:rPr>
          <w:b/>
          <w:bCs/>
        </w:rPr>
        <w:t>Intereses de mora:</w:t>
      </w:r>
      <w:r w:rsidRPr="007D34D0">
        <w:t xml:space="preserve"> A partir del onceavo (11) día se causarán intereses de mora diarios, utilizando la tasa máxima permitida por la Superintendencia Financiera.</w:t>
      </w:r>
    </w:p>
    <w:p w14:paraId="38DCA214" w14:textId="56722824" w:rsidR="007B776D" w:rsidRPr="007D34D0" w:rsidRDefault="007B776D" w:rsidP="007D34D0">
      <w:pPr>
        <w:numPr>
          <w:ilvl w:val="0"/>
          <w:numId w:val="1"/>
        </w:numPr>
        <w:jc w:val="both"/>
      </w:pPr>
      <w:r w:rsidRPr="007B776D">
        <w:rPr>
          <w:b/>
          <w:bCs/>
        </w:rPr>
        <w:t>Gastos de Cobranza:</w:t>
      </w:r>
      <w:r w:rsidRPr="007B776D">
        <w:t xml:space="preserve"> </w:t>
      </w:r>
      <w:r>
        <w:t xml:space="preserve">A partir del día 61 de mora para deudores desafiliados y día 91 de mora para trabajadores afiliados, se </w:t>
      </w:r>
      <w:r w:rsidRPr="007B776D">
        <w:rPr>
          <w:b/>
          <w:bCs/>
          <w:i/>
          <w:iCs/>
        </w:rPr>
        <w:t xml:space="preserve">generará la </w:t>
      </w:r>
      <w:proofErr w:type="spellStart"/>
      <w:r w:rsidRPr="007B776D">
        <w:rPr>
          <w:b/>
          <w:bCs/>
          <w:i/>
          <w:iCs/>
        </w:rPr>
        <w:t>causación</w:t>
      </w:r>
      <w:proofErr w:type="spellEnd"/>
      <w:r w:rsidRPr="007B776D">
        <w:rPr>
          <w:b/>
          <w:bCs/>
          <w:i/>
          <w:iCs/>
        </w:rPr>
        <w:t xml:space="preserve"> de honorarios y gastos de cobranza</w:t>
      </w:r>
      <w:r w:rsidRPr="007B776D">
        <w:t>, los cuales serán liquidados según el tiempo de mora y el estado de la obligación (extrajudicial o judicial).</w:t>
      </w:r>
    </w:p>
    <w:p w14:paraId="2697AB18" w14:textId="77777777" w:rsidR="007D34D0" w:rsidRPr="007D34D0" w:rsidRDefault="007D34D0" w:rsidP="007D34D0">
      <w:pPr>
        <w:numPr>
          <w:ilvl w:val="0"/>
          <w:numId w:val="1"/>
        </w:numPr>
        <w:jc w:val="both"/>
      </w:pPr>
      <w:r w:rsidRPr="007D34D0">
        <w:rPr>
          <w:b/>
          <w:bCs/>
        </w:rPr>
        <w:t>Bloqueo de servicios:</w:t>
      </w:r>
      <w:r w:rsidRPr="007D34D0">
        <w:t xml:space="preserve"> COMFABOY suspenderá automáticamente el servicio de crédito a empresas o trabajadores con obligaciones vencidas por más de 30 días.</w:t>
      </w:r>
    </w:p>
    <w:p w14:paraId="238B7251" w14:textId="77777777" w:rsidR="007D34D0" w:rsidRPr="007D34D0" w:rsidRDefault="007D34D0" w:rsidP="007D34D0">
      <w:pPr>
        <w:numPr>
          <w:ilvl w:val="0"/>
          <w:numId w:val="1"/>
        </w:numPr>
        <w:jc w:val="both"/>
      </w:pPr>
      <w:r w:rsidRPr="007D34D0">
        <w:rPr>
          <w:b/>
          <w:bCs/>
        </w:rPr>
        <w:t>Responsabilidad de pago personal:</w:t>
      </w:r>
      <w:r w:rsidRPr="007D34D0">
        <w:t xml:space="preserve"> En caso de que la empresa por cualquier motivo no realice el descuento por nómina, el deudor se compromete a cancelar personalmente en las oficinas o cuentas autorizadas de COMFABOY.</w:t>
      </w:r>
    </w:p>
    <w:p w14:paraId="0CDEECC0" w14:textId="77777777" w:rsidR="007D34D0" w:rsidRPr="007D34D0" w:rsidRDefault="007D34D0" w:rsidP="007D34D0">
      <w:pPr>
        <w:jc w:val="both"/>
        <w:rPr>
          <w:b/>
          <w:bCs/>
        </w:rPr>
      </w:pPr>
      <w:r w:rsidRPr="007D34D0">
        <w:rPr>
          <w:b/>
          <w:bCs/>
        </w:rPr>
        <w:t>3. PRIORIDAD EN LA APLICACIÓN DE PAGOS</w:t>
      </w:r>
    </w:p>
    <w:p w14:paraId="5F2D26D7" w14:textId="77777777" w:rsidR="007D34D0" w:rsidRPr="007D34D0" w:rsidRDefault="007D34D0" w:rsidP="007D34D0">
      <w:pPr>
        <w:jc w:val="both"/>
      </w:pPr>
      <w:r w:rsidRPr="007D34D0">
        <w:t>Cuando un crédito registra mora, los pagos recibidos se aplicarán estrictamente en el siguiente orden de prioridad:</w:t>
      </w:r>
    </w:p>
    <w:p w14:paraId="40459234" w14:textId="77777777" w:rsidR="007D34D0" w:rsidRPr="007D34D0" w:rsidRDefault="007D34D0" w:rsidP="007D34D0">
      <w:pPr>
        <w:numPr>
          <w:ilvl w:val="0"/>
          <w:numId w:val="2"/>
        </w:numPr>
        <w:jc w:val="both"/>
      </w:pPr>
      <w:r w:rsidRPr="007D34D0">
        <w:rPr>
          <w:b/>
          <w:bCs/>
        </w:rPr>
        <w:t>Intereses de mora</w:t>
      </w:r>
      <w:r w:rsidRPr="007D34D0">
        <w:t>.</w:t>
      </w:r>
    </w:p>
    <w:p w14:paraId="420E3D41" w14:textId="77777777" w:rsidR="007D34D0" w:rsidRPr="007D34D0" w:rsidRDefault="007D34D0" w:rsidP="007D34D0">
      <w:pPr>
        <w:numPr>
          <w:ilvl w:val="0"/>
          <w:numId w:val="2"/>
        </w:numPr>
        <w:jc w:val="both"/>
      </w:pPr>
      <w:r w:rsidRPr="007D34D0">
        <w:rPr>
          <w:b/>
          <w:bCs/>
        </w:rPr>
        <w:t>Cuotas de seguros</w:t>
      </w:r>
      <w:r w:rsidRPr="007D34D0">
        <w:t>.</w:t>
      </w:r>
    </w:p>
    <w:p w14:paraId="2FDFD4B8" w14:textId="77777777" w:rsidR="007D34D0" w:rsidRPr="007D34D0" w:rsidRDefault="007D34D0" w:rsidP="007D34D0">
      <w:pPr>
        <w:numPr>
          <w:ilvl w:val="0"/>
          <w:numId w:val="2"/>
        </w:numPr>
        <w:jc w:val="both"/>
      </w:pPr>
      <w:r w:rsidRPr="007D34D0">
        <w:rPr>
          <w:b/>
          <w:bCs/>
        </w:rPr>
        <w:t>Intereses corrientes</w:t>
      </w:r>
      <w:r w:rsidRPr="007D34D0">
        <w:t>.</w:t>
      </w:r>
    </w:p>
    <w:p w14:paraId="79A16C71" w14:textId="77777777" w:rsidR="007D34D0" w:rsidRDefault="007D34D0" w:rsidP="007D34D0">
      <w:pPr>
        <w:numPr>
          <w:ilvl w:val="0"/>
          <w:numId w:val="2"/>
        </w:numPr>
        <w:jc w:val="both"/>
      </w:pPr>
      <w:r w:rsidRPr="007D34D0">
        <w:rPr>
          <w:b/>
          <w:bCs/>
        </w:rPr>
        <w:t>Amortización a capital</w:t>
      </w:r>
      <w:r w:rsidRPr="007D34D0">
        <w:t>.</w:t>
      </w:r>
    </w:p>
    <w:p w14:paraId="5B2851F9" w14:textId="39E0C75C" w:rsidR="00FE512F" w:rsidRPr="007D34D0" w:rsidRDefault="00FE512F" w:rsidP="00FE512F">
      <w:pPr>
        <w:numPr>
          <w:ilvl w:val="0"/>
          <w:numId w:val="2"/>
        </w:numPr>
        <w:jc w:val="both"/>
      </w:pPr>
      <w:r w:rsidRPr="007D34D0">
        <w:rPr>
          <w:b/>
          <w:bCs/>
        </w:rPr>
        <w:t>Gastos y Honorarios de Cobranza:</w:t>
      </w:r>
      <w:r w:rsidRPr="007D34D0">
        <w:t xml:space="preserve"> Incluye honorarios de casa de cobranza, abogados y costas judiciales o extrajudiciales.</w:t>
      </w:r>
    </w:p>
    <w:p w14:paraId="287F7C0D" w14:textId="77777777" w:rsidR="007D34D0" w:rsidRPr="007D34D0" w:rsidRDefault="007D34D0" w:rsidP="007D34D0">
      <w:pPr>
        <w:jc w:val="both"/>
        <w:rPr>
          <w:b/>
          <w:bCs/>
        </w:rPr>
      </w:pPr>
      <w:r w:rsidRPr="007D34D0">
        <w:rPr>
          <w:b/>
          <w:bCs/>
        </w:rPr>
        <w:lastRenderedPageBreak/>
        <w:t>4. GESTIÓN POR TERCEROS Y HONORARIOS DE COBRANZA</w:t>
      </w:r>
    </w:p>
    <w:p w14:paraId="14AAA632" w14:textId="5F6DCBFD" w:rsidR="003A6B10" w:rsidRPr="007D34D0" w:rsidRDefault="007D34D0" w:rsidP="007D34D0">
      <w:pPr>
        <w:numPr>
          <w:ilvl w:val="0"/>
          <w:numId w:val="3"/>
        </w:numPr>
        <w:jc w:val="both"/>
      </w:pPr>
      <w:r w:rsidRPr="007D34D0">
        <w:rPr>
          <w:b/>
          <w:bCs/>
        </w:rPr>
        <w:t>Delegación:</w:t>
      </w:r>
      <w:r w:rsidRPr="007D34D0">
        <w:t xml:space="preserve"> </w:t>
      </w:r>
      <w:r w:rsidR="003A6B10" w:rsidRPr="003A6B10">
        <w:t xml:space="preserve">En virtud de las autorizaciones otorgadas por los </w:t>
      </w:r>
      <w:r w:rsidR="003A6B10">
        <w:t>deudores</w:t>
      </w:r>
      <w:r w:rsidR="003A6B10" w:rsidRPr="003A6B10">
        <w:t xml:space="preserve"> en el pagaré y la carta de instrucciones, COMFABOY podrá delegar en terceros especializados la gestión de cobro </w:t>
      </w:r>
      <w:proofErr w:type="spellStart"/>
      <w:r w:rsidR="003A6B10">
        <w:t>pre-juridicos</w:t>
      </w:r>
      <w:proofErr w:type="spellEnd"/>
      <w:r w:rsidR="003A6B10">
        <w:t xml:space="preserve"> </w:t>
      </w:r>
      <w:r w:rsidR="003A6B10" w:rsidRPr="003A6B10">
        <w:t xml:space="preserve">y </w:t>
      </w:r>
      <w:r w:rsidR="003A6B10">
        <w:t>jurídicos</w:t>
      </w:r>
      <w:r w:rsidR="003A6B10" w:rsidRPr="003A6B10">
        <w:t>. Dichos terceros están plenamente facultados para realizar labores de ubicación, estructuración de acuerdos de pago y representación en procesos ejecutivos. En todo caso, la gestión de recaudo deberá priorizar la protección del patrimonio del fondo</w:t>
      </w:r>
      <w:r w:rsidR="003A6B10">
        <w:t xml:space="preserve"> de Crédito Social</w:t>
      </w:r>
      <w:r w:rsidR="003A6B10" w:rsidRPr="003A6B10">
        <w:t xml:space="preserve">, garantizando el reintegro total de los rubros de capital, intereses </w:t>
      </w:r>
      <w:r w:rsidR="003A6B10">
        <w:t xml:space="preserve">corrientes </w:t>
      </w:r>
      <w:r w:rsidR="003A6B10" w:rsidRPr="003A6B10">
        <w:t>y seguros pactados.</w:t>
      </w:r>
    </w:p>
    <w:p w14:paraId="0F860877" w14:textId="3D873B05" w:rsidR="007D34D0" w:rsidRPr="007D34D0" w:rsidRDefault="007D34D0" w:rsidP="007D34D0">
      <w:pPr>
        <w:numPr>
          <w:ilvl w:val="0"/>
          <w:numId w:val="3"/>
        </w:numPr>
        <w:jc w:val="both"/>
      </w:pPr>
      <w:r w:rsidRPr="007D34D0">
        <w:rPr>
          <w:b/>
          <w:bCs/>
        </w:rPr>
        <w:t>Causación de Honorarios:</w:t>
      </w:r>
      <w:r w:rsidRPr="007D34D0">
        <w:t xml:space="preserve"> Cuando la obligación sea trasladada a una agencia externa, el deudor y codeudores deberán asumir el costo de los honorarios de cobranza y honorarios de abogado.</w:t>
      </w:r>
      <w:r w:rsidR="00DE3ACB">
        <w:t xml:space="preserve"> Estos se</w:t>
      </w:r>
      <w:r w:rsidR="00DE3ACB" w:rsidRPr="00DE3ACB">
        <w:t xml:space="preserve"> causarán desde el primer día de traslado a la Casa de Cobranza y serán asumidos por el deudor.</w:t>
      </w:r>
    </w:p>
    <w:p w14:paraId="17CA95FE" w14:textId="73916EDE" w:rsidR="007D34D0" w:rsidRDefault="007D34D0" w:rsidP="007D34D0">
      <w:pPr>
        <w:numPr>
          <w:ilvl w:val="0"/>
          <w:numId w:val="3"/>
        </w:numPr>
        <w:jc w:val="both"/>
      </w:pPr>
      <w:r w:rsidRPr="007D34D0">
        <w:rPr>
          <w:b/>
          <w:bCs/>
        </w:rPr>
        <w:t>Tarifa</w:t>
      </w:r>
      <w:r w:rsidR="00FE512F">
        <w:rPr>
          <w:b/>
          <w:bCs/>
        </w:rPr>
        <w:t xml:space="preserve"> de honorarios</w:t>
      </w:r>
      <w:r w:rsidRPr="007D34D0">
        <w:rPr>
          <w:b/>
          <w:bCs/>
        </w:rPr>
        <w:t>:</w:t>
      </w:r>
      <w:r w:rsidRPr="007D34D0">
        <w:t xml:space="preserve"> </w:t>
      </w:r>
      <w:r w:rsidR="00FE512F">
        <w:t>Para la vigencia 2026, l</w:t>
      </w:r>
      <w:r w:rsidRPr="007D34D0">
        <w:t xml:space="preserve">os honorarios serán </w:t>
      </w:r>
      <w:r w:rsidR="00F27011">
        <w:t xml:space="preserve">calculados </w:t>
      </w:r>
      <w:r w:rsidRPr="007D34D0">
        <w:t xml:space="preserve">sobre el valor total del pago realizado, </w:t>
      </w:r>
      <w:r w:rsidR="00F27011">
        <w:t>de acuerdo al vencimiento según la siguiente tabla:</w:t>
      </w:r>
    </w:p>
    <w:tbl>
      <w:tblPr>
        <w:tblW w:w="5440" w:type="dxa"/>
        <w:jc w:val="center"/>
        <w:tblCellMar>
          <w:left w:w="70" w:type="dxa"/>
          <w:right w:w="70" w:type="dxa"/>
        </w:tblCellMar>
        <w:tblLook w:val="04A0" w:firstRow="1" w:lastRow="0" w:firstColumn="1" w:lastColumn="0" w:noHBand="0" w:noVBand="1"/>
      </w:tblPr>
      <w:tblGrid>
        <w:gridCol w:w="2720"/>
        <w:gridCol w:w="2720"/>
      </w:tblGrid>
      <w:tr w:rsidR="00310FA2" w:rsidRPr="00310FA2" w14:paraId="3F7A9CA7" w14:textId="77777777" w:rsidTr="00310FA2">
        <w:trPr>
          <w:trHeight w:val="315"/>
          <w:jc w:val="center"/>
        </w:trPr>
        <w:tc>
          <w:tcPr>
            <w:tcW w:w="2720" w:type="dxa"/>
            <w:tcBorders>
              <w:top w:val="single" w:sz="8" w:space="0" w:color="auto"/>
              <w:left w:val="single" w:sz="8" w:space="0" w:color="auto"/>
              <w:bottom w:val="single" w:sz="8" w:space="0" w:color="auto"/>
              <w:right w:val="single" w:sz="8" w:space="0" w:color="auto"/>
            </w:tcBorders>
            <w:noWrap/>
            <w:vAlign w:val="bottom"/>
            <w:hideMark/>
          </w:tcPr>
          <w:p w14:paraId="31A2E403" w14:textId="77777777" w:rsidR="00310FA2" w:rsidRPr="00310FA2" w:rsidRDefault="00310FA2" w:rsidP="00310FA2">
            <w:pPr>
              <w:spacing w:after="0" w:line="240" w:lineRule="auto"/>
              <w:jc w:val="center"/>
              <w:rPr>
                <w:rFonts w:ascii="Calibri" w:eastAsia="Times New Roman" w:hAnsi="Calibri" w:cs="Calibri"/>
                <w:b/>
                <w:bCs/>
                <w:color w:val="000000"/>
                <w:lang w:eastAsia="es-CO"/>
              </w:rPr>
            </w:pPr>
            <w:r w:rsidRPr="00310FA2">
              <w:rPr>
                <w:rFonts w:ascii="Calibri" w:eastAsia="Times New Roman" w:hAnsi="Calibri" w:cs="Calibri"/>
                <w:b/>
                <w:bCs/>
                <w:color w:val="000000"/>
                <w:lang w:eastAsia="es-CO"/>
              </w:rPr>
              <w:t>Franja de Mora</w:t>
            </w:r>
          </w:p>
        </w:tc>
        <w:tc>
          <w:tcPr>
            <w:tcW w:w="2720" w:type="dxa"/>
            <w:tcBorders>
              <w:top w:val="single" w:sz="8" w:space="0" w:color="auto"/>
              <w:left w:val="nil"/>
              <w:bottom w:val="single" w:sz="8" w:space="0" w:color="auto"/>
              <w:right w:val="single" w:sz="8" w:space="0" w:color="auto"/>
            </w:tcBorders>
            <w:noWrap/>
            <w:vAlign w:val="bottom"/>
            <w:hideMark/>
          </w:tcPr>
          <w:p w14:paraId="511220A1" w14:textId="77777777" w:rsidR="00310FA2" w:rsidRPr="00310FA2" w:rsidRDefault="00310FA2" w:rsidP="00310FA2">
            <w:pPr>
              <w:spacing w:after="0" w:line="240" w:lineRule="auto"/>
              <w:jc w:val="center"/>
              <w:rPr>
                <w:rFonts w:ascii="Calibri" w:eastAsia="Times New Roman" w:hAnsi="Calibri" w:cs="Calibri"/>
                <w:b/>
                <w:bCs/>
                <w:color w:val="000000"/>
                <w:lang w:eastAsia="es-CO"/>
              </w:rPr>
            </w:pPr>
            <w:r w:rsidRPr="00310FA2">
              <w:rPr>
                <w:rFonts w:ascii="Calibri" w:eastAsia="Times New Roman" w:hAnsi="Calibri" w:cs="Calibri"/>
                <w:b/>
                <w:bCs/>
                <w:color w:val="000000"/>
                <w:lang w:eastAsia="es-CO"/>
              </w:rPr>
              <w:t>Tarifas</w:t>
            </w:r>
          </w:p>
        </w:tc>
      </w:tr>
      <w:tr w:rsidR="00310FA2" w:rsidRPr="00310FA2" w14:paraId="659D9586"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5DD8762D"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 a 30 días</w:t>
            </w:r>
          </w:p>
        </w:tc>
        <w:tc>
          <w:tcPr>
            <w:tcW w:w="2720" w:type="dxa"/>
            <w:tcBorders>
              <w:top w:val="nil"/>
              <w:left w:val="nil"/>
              <w:bottom w:val="single" w:sz="4" w:space="0" w:color="auto"/>
              <w:right w:val="single" w:sz="8" w:space="0" w:color="auto"/>
            </w:tcBorders>
            <w:noWrap/>
            <w:vAlign w:val="bottom"/>
            <w:hideMark/>
          </w:tcPr>
          <w:p w14:paraId="543A8F70"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 + IVA</w:t>
            </w:r>
          </w:p>
        </w:tc>
      </w:tr>
      <w:tr w:rsidR="00310FA2" w:rsidRPr="00310FA2" w14:paraId="01579F3E"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697E2DB6"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31 a 60 días</w:t>
            </w:r>
          </w:p>
        </w:tc>
        <w:tc>
          <w:tcPr>
            <w:tcW w:w="2720" w:type="dxa"/>
            <w:tcBorders>
              <w:top w:val="nil"/>
              <w:left w:val="nil"/>
              <w:bottom w:val="single" w:sz="4" w:space="0" w:color="auto"/>
              <w:right w:val="single" w:sz="8" w:space="0" w:color="auto"/>
            </w:tcBorders>
            <w:noWrap/>
            <w:vAlign w:val="bottom"/>
            <w:hideMark/>
          </w:tcPr>
          <w:p w14:paraId="28AC9EDF"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3% + IVA</w:t>
            </w:r>
          </w:p>
        </w:tc>
      </w:tr>
      <w:tr w:rsidR="00310FA2" w:rsidRPr="00310FA2" w14:paraId="64D75DEE"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1984B2EA"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61 a 90 días</w:t>
            </w:r>
          </w:p>
        </w:tc>
        <w:tc>
          <w:tcPr>
            <w:tcW w:w="2720" w:type="dxa"/>
            <w:tcBorders>
              <w:top w:val="nil"/>
              <w:left w:val="nil"/>
              <w:bottom w:val="single" w:sz="4" w:space="0" w:color="auto"/>
              <w:right w:val="single" w:sz="8" w:space="0" w:color="auto"/>
            </w:tcBorders>
            <w:noWrap/>
            <w:vAlign w:val="bottom"/>
            <w:hideMark/>
          </w:tcPr>
          <w:p w14:paraId="12D086FD"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5% + IVA</w:t>
            </w:r>
          </w:p>
        </w:tc>
      </w:tr>
      <w:tr w:rsidR="00310FA2" w:rsidRPr="00310FA2" w14:paraId="382626C9"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353B56A1"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91 a 12 días</w:t>
            </w:r>
          </w:p>
        </w:tc>
        <w:tc>
          <w:tcPr>
            <w:tcW w:w="2720" w:type="dxa"/>
            <w:tcBorders>
              <w:top w:val="nil"/>
              <w:left w:val="nil"/>
              <w:bottom w:val="single" w:sz="4" w:space="0" w:color="auto"/>
              <w:right w:val="single" w:sz="8" w:space="0" w:color="auto"/>
            </w:tcBorders>
            <w:noWrap/>
            <w:vAlign w:val="bottom"/>
            <w:hideMark/>
          </w:tcPr>
          <w:p w14:paraId="40773482"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6% + IVA</w:t>
            </w:r>
          </w:p>
        </w:tc>
      </w:tr>
      <w:tr w:rsidR="00310FA2" w:rsidRPr="00310FA2" w14:paraId="7BC82F74"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2AAAB268"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121 a 180 días</w:t>
            </w:r>
          </w:p>
        </w:tc>
        <w:tc>
          <w:tcPr>
            <w:tcW w:w="2720" w:type="dxa"/>
            <w:tcBorders>
              <w:top w:val="nil"/>
              <w:left w:val="nil"/>
              <w:bottom w:val="single" w:sz="4" w:space="0" w:color="auto"/>
              <w:right w:val="single" w:sz="8" w:space="0" w:color="auto"/>
            </w:tcBorders>
            <w:noWrap/>
            <w:vAlign w:val="bottom"/>
            <w:hideMark/>
          </w:tcPr>
          <w:p w14:paraId="718AFAE6"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10% + IVA</w:t>
            </w:r>
          </w:p>
        </w:tc>
      </w:tr>
      <w:tr w:rsidR="00310FA2" w:rsidRPr="00310FA2" w14:paraId="17FD2517"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49D1768B"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181 a 270 días</w:t>
            </w:r>
          </w:p>
        </w:tc>
        <w:tc>
          <w:tcPr>
            <w:tcW w:w="2720" w:type="dxa"/>
            <w:tcBorders>
              <w:top w:val="nil"/>
              <w:left w:val="nil"/>
              <w:bottom w:val="single" w:sz="4" w:space="0" w:color="auto"/>
              <w:right w:val="single" w:sz="8" w:space="0" w:color="auto"/>
            </w:tcBorders>
            <w:noWrap/>
            <w:vAlign w:val="bottom"/>
            <w:hideMark/>
          </w:tcPr>
          <w:p w14:paraId="03BD80A6"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12% + IVA</w:t>
            </w:r>
          </w:p>
        </w:tc>
      </w:tr>
      <w:tr w:rsidR="00310FA2" w:rsidRPr="00310FA2" w14:paraId="2D473D59"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6584B374"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271 a 360 días</w:t>
            </w:r>
          </w:p>
        </w:tc>
        <w:tc>
          <w:tcPr>
            <w:tcW w:w="2720" w:type="dxa"/>
            <w:tcBorders>
              <w:top w:val="nil"/>
              <w:left w:val="nil"/>
              <w:bottom w:val="single" w:sz="4" w:space="0" w:color="auto"/>
              <w:right w:val="single" w:sz="8" w:space="0" w:color="auto"/>
            </w:tcBorders>
            <w:noWrap/>
            <w:vAlign w:val="bottom"/>
            <w:hideMark/>
          </w:tcPr>
          <w:p w14:paraId="2EE549A6"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20% + IVA</w:t>
            </w:r>
          </w:p>
        </w:tc>
      </w:tr>
      <w:tr w:rsidR="00310FA2" w:rsidRPr="00310FA2" w14:paraId="5A3DDA75" w14:textId="77777777" w:rsidTr="00310FA2">
        <w:trPr>
          <w:trHeight w:val="300"/>
          <w:jc w:val="center"/>
        </w:trPr>
        <w:tc>
          <w:tcPr>
            <w:tcW w:w="2720" w:type="dxa"/>
            <w:tcBorders>
              <w:top w:val="nil"/>
              <w:left w:val="single" w:sz="8" w:space="0" w:color="auto"/>
              <w:bottom w:val="single" w:sz="4" w:space="0" w:color="auto"/>
              <w:right w:val="single" w:sz="8" w:space="0" w:color="auto"/>
            </w:tcBorders>
            <w:noWrap/>
            <w:vAlign w:val="bottom"/>
            <w:hideMark/>
          </w:tcPr>
          <w:p w14:paraId="21094338"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Mayor a 360 días</w:t>
            </w:r>
          </w:p>
        </w:tc>
        <w:tc>
          <w:tcPr>
            <w:tcW w:w="2720" w:type="dxa"/>
            <w:tcBorders>
              <w:top w:val="nil"/>
              <w:left w:val="nil"/>
              <w:bottom w:val="single" w:sz="4" w:space="0" w:color="auto"/>
              <w:right w:val="single" w:sz="8" w:space="0" w:color="auto"/>
            </w:tcBorders>
            <w:noWrap/>
            <w:vAlign w:val="bottom"/>
            <w:hideMark/>
          </w:tcPr>
          <w:p w14:paraId="7B64848C"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25% + IVA</w:t>
            </w:r>
          </w:p>
        </w:tc>
      </w:tr>
      <w:tr w:rsidR="00310FA2" w:rsidRPr="00310FA2" w14:paraId="3B5D3F27" w14:textId="77777777" w:rsidTr="00310FA2">
        <w:trPr>
          <w:trHeight w:val="315"/>
          <w:jc w:val="center"/>
        </w:trPr>
        <w:tc>
          <w:tcPr>
            <w:tcW w:w="2720" w:type="dxa"/>
            <w:tcBorders>
              <w:top w:val="nil"/>
              <w:left w:val="single" w:sz="8" w:space="0" w:color="auto"/>
              <w:bottom w:val="single" w:sz="8" w:space="0" w:color="auto"/>
              <w:right w:val="single" w:sz="8" w:space="0" w:color="auto"/>
            </w:tcBorders>
            <w:noWrap/>
            <w:vAlign w:val="bottom"/>
            <w:hideMark/>
          </w:tcPr>
          <w:p w14:paraId="11F28E0D"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Cartera Castigada</w:t>
            </w:r>
          </w:p>
        </w:tc>
        <w:tc>
          <w:tcPr>
            <w:tcW w:w="2720" w:type="dxa"/>
            <w:tcBorders>
              <w:top w:val="nil"/>
              <w:left w:val="nil"/>
              <w:bottom w:val="single" w:sz="8" w:space="0" w:color="auto"/>
              <w:right w:val="single" w:sz="8" w:space="0" w:color="auto"/>
            </w:tcBorders>
            <w:noWrap/>
            <w:vAlign w:val="bottom"/>
            <w:hideMark/>
          </w:tcPr>
          <w:p w14:paraId="21405082" w14:textId="77777777" w:rsidR="00310FA2" w:rsidRPr="00310FA2" w:rsidRDefault="00310FA2" w:rsidP="00310FA2">
            <w:pPr>
              <w:spacing w:after="0" w:line="240" w:lineRule="auto"/>
              <w:jc w:val="center"/>
              <w:rPr>
                <w:rFonts w:ascii="Calibri" w:eastAsia="Times New Roman" w:hAnsi="Calibri" w:cs="Calibri"/>
                <w:color w:val="000000"/>
                <w:lang w:eastAsia="es-CO"/>
              </w:rPr>
            </w:pPr>
            <w:r w:rsidRPr="00310FA2">
              <w:rPr>
                <w:rFonts w:ascii="Calibri" w:eastAsia="Times New Roman" w:hAnsi="Calibri" w:cs="Calibri"/>
                <w:color w:val="000000"/>
                <w:lang w:eastAsia="es-CO"/>
              </w:rPr>
              <w:t>30% + IVA</w:t>
            </w:r>
          </w:p>
        </w:tc>
      </w:tr>
    </w:tbl>
    <w:p w14:paraId="66C9105B" w14:textId="77777777" w:rsidR="00C6376C" w:rsidRDefault="00C6376C" w:rsidP="00976035">
      <w:pPr>
        <w:ind w:left="708"/>
        <w:jc w:val="both"/>
      </w:pPr>
    </w:p>
    <w:p w14:paraId="352904FD" w14:textId="5A7C1F49" w:rsidR="00976035" w:rsidRPr="00976035" w:rsidRDefault="00976035" w:rsidP="00976035">
      <w:pPr>
        <w:ind w:left="708"/>
        <w:jc w:val="both"/>
      </w:pPr>
      <w:r>
        <w:t xml:space="preserve">El porcentaje sobre el cual se define la comisión es liquidado sobre el valor que sea efectivamente recaudado dentro del proceso de cobranza. </w:t>
      </w:r>
    </w:p>
    <w:p w14:paraId="51E8E75F" w14:textId="6F0BDCF8" w:rsidR="007D34D0" w:rsidRPr="007D34D0" w:rsidRDefault="007D34D0" w:rsidP="007D34D0">
      <w:pPr>
        <w:numPr>
          <w:ilvl w:val="0"/>
          <w:numId w:val="3"/>
        </w:numPr>
        <w:jc w:val="both"/>
      </w:pPr>
      <w:r w:rsidRPr="007D34D0">
        <w:rPr>
          <w:b/>
          <w:bCs/>
        </w:rPr>
        <w:t>Transparencia:</w:t>
      </w:r>
      <w:r w:rsidRPr="007D34D0">
        <w:t xml:space="preserve"> COMFABOY informará al deudor la identidad de la casa de cobranza asignada para verificar la legitimidad del cobro.</w:t>
      </w:r>
    </w:p>
    <w:p w14:paraId="6F0106E5" w14:textId="77777777" w:rsidR="007D34D0" w:rsidRPr="007D34D0" w:rsidRDefault="007D34D0" w:rsidP="007D34D0">
      <w:pPr>
        <w:jc w:val="both"/>
        <w:rPr>
          <w:b/>
          <w:bCs/>
        </w:rPr>
      </w:pPr>
      <w:r w:rsidRPr="007D34D0">
        <w:rPr>
          <w:b/>
          <w:bCs/>
        </w:rPr>
        <w:t>5. CLASIFICACIÓN DEL RIESGO DE CARTERA</w:t>
      </w:r>
    </w:p>
    <w:p w14:paraId="157261CD" w14:textId="77777777" w:rsidR="007D34D0" w:rsidRPr="007D34D0" w:rsidRDefault="007D34D0" w:rsidP="007D34D0">
      <w:pPr>
        <w:jc w:val="both"/>
      </w:pPr>
      <w:r w:rsidRPr="007D34D0">
        <w:t>La cartera se categoriza según la edad del vencimiento para determinar las acciones de cobro:</w:t>
      </w:r>
    </w:p>
    <w:p w14:paraId="601EAA72" w14:textId="77777777" w:rsidR="007D34D0" w:rsidRPr="007D34D0" w:rsidRDefault="007D34D0" w:rsidP="007D34D0">
      <w:pPr>
        <w:numPr>
          <w:ilvl w:val="0"/>
          <w:numId w:val="4"/>
        </w:numPr>
        <w:jc w:val="both"/>
      </w:pPr>
      <w:r w:rsidRPr="007D34D0">
        <w:rPr>
          <w:b/>
          <w:bCs/>
        </w:rPr>
        <w:t>Categoría A (Riesgo normal):</w:t>
      </w:r>
      <w:r w:rsidRPr="007D34D0">
        <w:t xml:space="preserve"> 0 a 30 días de vencimiento.</w:t>
      </w:r>
    </w:p>
    <w:p w14:paraId="137DC15E" w14:textId="77777777" w:rsidR="007D34D0" w:rsidRPr="007D34D0" w:rsidRDefault="007D34D0" w:rsidP="007D34D0">
      <w:pPr>
        <w:numPr>
          <w:ilvl w:val="0"/>
          <w:numId w:val="4"/>
        </w:numPr>
        <w:jc w:val="both"/>
      </w:pPr>
      <w:r w:rsidRPr="007D34D0">
        <w:rPr>
          <w:b/>
          <w:bCs/>
        </w:rPr>
        <w:t>Categoría B (Riesgo aceptable):</w:t>
      </w:r>
      <w:r w:rsidRPr="007D34D0">
        <w:t xml:space="preserve"> 31 a 60 días de vencimiento.</w:t>
      </w:r>
    </w:p>
    <w:p w14:paraId="5A6FE07B" w14:textId="77777777" w:rsidR="007D34D0" w:rsidRPr="007D34D0" w:rsidRDefault="007D34D0" w:rsidP="007D34D0">
      <w:pPr>
        <w:numPr>
          <w:ilvl w:val="0"/>
          <w:numId w:val="4"/>
        </w:numPr>
        <w:jc w:val="both"/>
      </w:pPr>
      <w:r w:rsidRPr="007D34D0">
        <w:rPr>
          <w:b/>
          <w:bCs/>
        </w:rPr>
        <w:t>Categoría C (Riesgo apreciable):</w:t>
      </w:r>
      <w:r w:rsidRPr="007D34D0">
        <w:t xml:space="preserve"> 61 a 90 días de vencimiento.</w:t>
      </w:r>
    </w:p>
    <w:p w14:paraId="1103A468" w14:textId="77777777" w:rsidR="007D34D0" w:rsidRPr="007D34D0" w:rsidRDefault="007D34D0" w:rsidP="007D34D0">
      <w:pPr>
        <w:numPr>
          <w:ilvl w:val="0"/>
          <w:numId w:val="4"/>
        </w:numPr>
        <w:jc w:val="both"/>
      </w:pPr>
      <w:r w:rsidRPr="007D34D0">
        <w:rPr>
          <w:b/>
          <w:bCs/>
        </w:rPr>
        <w:t>Categoría D (Riesgo significativo):</w:t>
      </w:r>
      <w:r w:rsidRPr="007D34D0">
        <w:t xml:space="preserve"> 91 a 180 días de vencimiento.</w:t>
      </w:r>
    </w:p>
    <w:p w14:paraId="53C6D577" w14:textId="77777777" w:rsidR="007D34D0" w:rsidRPr="007D34D0" w:rsidRDefault="007D34D0" w:rsidP="007D34D0">
      <w:pPr>
        <w:numPr>
          <w:ilvl w:val="0"/>
          <w:numId w:val="4"/>
        </w:numPr>
        <w:jc w:val="both"/>
      </w:pPr>
      <w:r w:rsidRPr="007D34D0">
        <w:rPr>
          <w:b/>
          <w:bCs/>
        </w:rPr>
        <w:t>Categoría E (Riesgo de incobrabilidad):</w:t>
      </w:r>
      <w:r w:rsidRPr="007D34D0">
        <w:t xml:space="preserve"> Más de 181 días de vencimiento.</w:t>
      </w:r>
    </w:p>
    <w:p w14:paraId="0DF80C1A" w14:textId="77777777" w:rsidR="007D34D0" w:rsidRPr="007D34D0" w:rsidRDefault="007D34D0" w:rsidP="007D34D0">
      <w:pPr>
        <w:jc w:val="both"/>
        <w:rPr>
          <w:b/>
          <w:bCs/>
        </w:rPr>
      </w:pPr>
      <w:r w:rsidRPr="007D34D0">
        <w:rPr>
          <w:b/>
          <w:bCs/>
        </w:rPr>
        <w:lastRenderedPageBreak/>
        <w:t>6. ETAPAS DE LA GESTIÓN DE COBRANZA</w:t>
      </w:r>
    </w:p>
    <w:p w14:paraId="7FF4FB10" w14:textId="649B4243" w:rsidR="007D34D0" w:rsidRDefault="007D34D0" w:rsidP="007D34D0">
      <w:pPr>
        <w:jc w:val="both"/>
      </w:pPr>
      <w:r w:rsidRPr="007D34D0">
        <w:t xml:space="preserve">La gestión se divide en </w:t>
      </w:r>
      <w:r>
        <w:t>las siguientes</w:t>
      </w:r>
      <w:r w:rsidRPr="007D34D0">
        <w:t xml:space="preserve"> fases</w:t>
      </w:r>
      <w:r>
        <w:t>:</w:t>
      </w:r>
    </w:p>
    <w:p w14:paraId="745088CC" w14:textId="1BABE7AF" w:rsidR="007D34D0" w:rsidRPr="007D34D0" w:rsidRDefault="007D34D0" w:rsidP="007D34D0">
      <w:pPr>
        <w:numPr>
          <w:ilvl w:val="0"/>
          <w:numId w:val="5"/>
        </w:numPr>
        <w:jc w:val="both"/>
      </w:pPr>
      <w:r w:rsidRPr="007D34D0">
        <w:rPr>
          <w:b/>
          <w:bCs/>
        </w:rPr>
        <w:t>Etapa Persuasiva (</w:t>
      </w:r>
      <w:r w:rsidR="00DE3ACB">
        <w:rPr>
          <w:b/>
          <w:bCs/>
        </w:rPr>
        <w:t>1</w:t>
      </w:r>
      <w:r w:rsidRPr="007D34D0">
        <w:rPr>
          <w:b/>
          <w:bCs/>
        </w:rPr>
        <w:t xml:space="preserve"> a 60 días de mora):</w:t>
      </w:r>
      <w:r w:rsidRPr="007D34D0">
        <w:t xml:space="preserve"> </w:t>
      </w:r>
      <w:r>
        <w:t xml:space="preserve">Se </w:t>
      </w:r>
      <w:r w:rsidRPr="007D34D0">
        <w:t xml:space="preserve">busca el cumplimiento </w:t>
      </w:r>
      <w:r>
        <w:t xml:space="preserve">de pago </w:t>
      </w:r>
      <w:r w:rsidRPr="007D34D0">
        <w:t xml:space="preserve">voluntario mediante comunicación telefónica, SMS y correos dirigidos a la empresa y al trabajador. </w:t>
      </w:r>
      <w:r w:rsidR="00C22C33" w:rsidRPr="007D34D0">
        <w:t>Se notifica formalmente sobre el reporte negativo ante centrales de riesgo (con antelación de 20 días legales) si la mora persiste</w:t>
      </w:r>
      <w:r w:rsidR="00C22C33">
        <w:t>.</w:t>
      </w:r>
    </w:p>
    <w:p w14:paraId="509D0134" w14:textId="3877DB23" w:rsidR="007D34D0" w:rsidRDefault="007D34D0" w:rsidP="007D34D0">
      <w:pPr>
        <w:numPr>
          <w:ilvl w:val="0"/>
          <w:numId w:val="5"/>
        </w:numPr>
        <w:jc w:val="both"/>
      </w:pPr>
      <w:r w:rsidRPr="007D34D0">
        <w:rPr>
          <w:b/>
          <w:bCs/>
        </w:rPr>
        <w:t xml:space="preserve">Etapa </w:t>
      </w:r>
      <w:proofErr w:type="spellStart"/>
      <w:r w:rsidRPr="007D34D0">
        <w:rPr>
          <w:b/>
          <w:bCs/>
        </w:rPr>
        <w:t>Pre-jurídica</w:t>
      </w:r>
      <w:proofErr w:type="spellEnd"/>
      <w:r w:rsidRPr="007D34D0">
        <w:rPr>
          <w:b/>
          <w:bCs/>
        </w:rPr>
        <w:t xml:space="preserve"> (61 a 90 días de mora):</w:t>
      </w:r>
      <w:r w:rsidRPr="007D34D0">
        <w:t xml:space="preserve"> Envío de comunicación de cobro </w:t>
      </w:r>
      <w:proofErr w:type="spellStart"/>
      <w:r w:rsidRPr="007D34D0">
        <w:t>pre-jurídico</w:t>
      </w:r>
      <w:proofErr w:type="spellEnd"/>
      <w:r w:rsidRPr="007D34D0">
        <w:t xml:space="preserve"> al deudor y codeudor</w:t>
      </w:r>
      <w:r w:rsidR="00FE512F">
        <w:t xml:space="preserve"> a los correos </w:t>
      </w:r>
      <w:r w:rsidR="00D75575">
        <w:t>electrónicos</w:t>
      </w:r>
      <w:r w:rsidR="00FE512F">
        <w:t xml:space="preserve"> registrados en la solicitud de crédito o </w:t>
      </w:r>
      <w:r w:rsidR="00D75575">
        <w:t>al correo</w:t>
      </w:r>
      <w:r w:rsidR="00FE512F">
        <w:t xml:space="preserve"> producto de actualización de datos y</w:t>
      </w:r>
      <w:r w:rsidR="00DE3ACB" w:rsidRPr="00DE3ACB">
        <w:t xml:space="preserve"> llamadas telefónicas de recordación. </w:t>
      </w:r>
    </w:p>
    <w:p w14:paraId="73DAFAB9" w14:textId="712DAD4F" w:rsidR="00DE3ACB" w:rsidRPr="007D34D0" w:rsidRDefault="00DE3ACB" w:rsidP="00DE3ACB">
      <w:pPr>
        <w:numPr>
          <w:ilvl w:val="1"/>
          <w:numId w:val="5"/>
        </w:numPr>
        <w:jc w:val="both"/>
      </w:pPr>
      <w:r w:rsidRPr="00DE3ACB">
        <w:rPr>
          <w:b/>
          <w:bCs/>
        </w:rPr>
        <w:t>Desafiliados:</w:t>
      </w:r>
      <w:r w:rsidRPr="00DE3ACB">
        <w:t xml:space="preserve"> Ante el alto riesgo que representa la pérdida de la fuente de recaudo (nómina), </w:t>
      </w:r>
      <w:r w:rsidRPr="00DE3ACB">
        <w:rPr>
          <w:b/>
          <w:bCs/>
        </w:rPr>
        <w:t>estos deudores se trasladan a la Casa de Cobranza Externa a partir del día 6</w:t>
      </w:r>
      <w:r>
        <w:rPr>
          <w:b/>
          <w:bCs/>
        </w:rPr>
        <w:t>1</w:t>
      </w:r>
      <w:r w:rsidRPr="00DE3ACB">
        <w:rPr>
          <w:b/>
          <w:bCs/>
        </w:rPr>
        <w:t xml:space="preserve"> de mora</w:t>
      </w:r>
      <w:r w:rsidRPr="00DE3ACB">
        <w:t>, activando el cobro de honorarios.</w:t>
      </w:r>
    </w:p>
    <w:p w14:paraId="4BB824CF" w14:textId="77777777" w:rsidR="0099680B" w:rsidRDefault="007D34D0" w:rsidP="0099680B">
      <w:pPr>
        <w:numPr>
          <w:ilvl w:val="0"/>
          <w:numId w:val="5"/>
        </w:numPr>
        <w:jc w:val="both"/>
      </w:pPr>
      <w:r w:rsidRPr="007D34D0">
        <w:rPr>
          <w:b/>
          <w:bCs/>
        </w:rPr>
        <w:t>Etapa Jurídica (Más de 91 días de mora):</w:t>
      </w:r>
      <w:r w:rsidRPr="007D34D0">
        <w:t xml:space="preserve"> </w:t>
      </w:r>
      <w:r w:rsidR="00DE3ACB">
        <w:t>Una casa de cobranza asume la totalidad del proceso, actuando como apoderado</w:t>
      </w:r>
      <w:r w:rsidR="0099680B">
        <w:t xml:space="preserve"> de </w:t>
      </w:r>
      <w:proofErr w:type="spellStart"/>
      <w:r w:rsidR="0099680B">
        <w:t>Comfaboy</w:t>
      </w:r>
      <w:proofErr w:type="spellEnd"/>
      <w:r w:rsidR="0099680B">
        <w:t xml:space="preserve">, para iniciar el cobro judicial. Se generan cobro de honorarios, gastos de cobranza y/o costas judiciales. </w:t>
      </w:r>
    </w:p>
    <w:p w14:paraId="3510C6A5" w14:textId="6DBA6C29" w:rsidR="00DE3ACB" w:rsidRPr="007D34D0" w:rsidRDefault="00DE3ACB" w:rsidP="0099680B">
      <w:pPr>
        <w:numPr>
          <w:ilvl w:val="1"/>
          <w:numId w:val="5"/>
        </w:numPr>
        <w:jc w:val="both"/>
      </w:pPr>
      <w:r w:rsidRPr="00E3001A">
        <w:rPr>
          <w:b/>
          <w:bCs/>
        </w:rPr>
        <w:t>Afiliados</w:t>
      </w:r>
      <w:r>
        <w:t xml:space="preserve">: Los deudores con vínculo laboral </w:t>
      </w:r>
      <w:r w:rsidR="00E3001A">
        <w:t>activo</w:t>
      </w:r>
      <w:r>
        <w:t xml:space="preserve"> son trasladados a la Casa de Cobranza Externa al cumplir los 9</w:t>
      </w:r>
      <w:r w:rsidR="00E3001A">
        <w:t>1</w:t>
      </w:r>
      <w:r>
        <w:t xml:space="preserve"> días de mora, iniciando la </w:t>
      </w:r>
      <w:proofErr w:type="spellStart"/>
      <w:r>
        <w:t>causación</w:t>
      </w:r>
      <w:proofErr w:type="spellEnd"/>
      <w:r>
        <w:t xml:space="preserve"> de honorarios de gestión.</w:t>
      </w:r>
    </w:p>
    <w:p w14:paraId="78E3137F" w14:textId="77777777" w:rsidR="007D34D0" w:rsidRPr="007D34D0" w:rsidRDefault="007D34D0" w:rsidP="007D34D0">
      <w:pPr>
        <w:jc w:val="both"/>
        <w:rPr>
          <w:b/>
          <w:bCs/>
        </w:rPr>
      </w:pPr>
      <w:r w:rsidRPr="007D34D0">
        <w:rPr>
          <w:b/>
          <w:bCs/>
        </w:rPr>
        <w:t>7. SITUACIONES ESPECIALES DE RECAUDO</w:t>
      </w:r>
    </w:p>
    <w:p w14:paraId="3A6FDBB5" w14:textId="77777777" w:rsidR="007D34D0" w:rsidRPr="007D34D0" w:rsidRDefault="007D34D0" w:rsidP="007D34D0">
      <w:pPr>
        <w:numPr>
          <w:ilvl w:val="0"/>
          <w:numId w:val="6"/>
        </w:numPr>
        <w:jc w:val="both"/>
      </w:pPr>
      <w:r w:rsidRPr="007D34D0">
        <w:rPr>
          <w:b/>
          <w:bCs/>
        </w:rPr>
        <w:t>Terminación del vínculo laboral:</w:t>
      </w:r>
      <w:r w:rsidRPr="007D34D0">
        <w:t xml:space="preserve"> La empresa está obligada a descontar el saldo total de la deuda (capital, intereses y gastos de cobro) de las prestaciones sociales, liquidación, indemnizaciones o bonificaciones del trabajador.</w:t>
      </w:r>
    </w:p>
    <w:p w14:paraId="444633B3" w14:textId="77777777" w:rsidR="007D34D0" w:rsidRPr="007D34D0" w:rsidRDefault="007D34D0" w:rsidP="007D34D0">
      <w:pPr>
        <w:numPr>
          <w:ilvl w:val="0"/>
          <w:numId w:val="6"/>
        </w:numPr>
        <w:jc w:val="both"/>
      </w:pPr>
      <w:r w:rsidRPr="007D34D0">
        <w:rPr>
          <w:b/>
          <w:bCs/>
        </w:rPr>
        <w:t>Cesantías y Subsidios:</w:t>
      </w:r>
      <w:r w:rsidRPr="007D34D0">
        <w:t xml:space="preserve"> COMFABOY está autorizado para solicitar el saldo de cesantías al fondo respectivo o descontar del subsidio monetario y extraordinario para cubrir la deuda.</w:t>
      </w:r>
    </w:p>
    <w:p w14:paraId="58129B40" w14:textId="3506B5FC" w:rsidR="007D34D0" w:rsidRPr="007D34D0" w:rsidRDefault="007D34D0" w:rsidP="007D34D0">
      <w:pPr>
        <w:numPr>
          <w:ilvl w:val="0"/>
          <w:numId w:val="6"/>
        </w:numPr>
        <w:jc w:val="both"/>
      </w:pPr>
      <w:r w:rsidRPr="007D34D0">
        <w:rPr>
          <w:b/>
          <w:bCs/>
        </w:rPr>
        <w:t>Fallecimiento del deudor:</w:t>
      </w:r>
      <w:r w:rsidRPr="007D34D0">
        <w:t xml:space="preserve"> El saldo pendiente se compensará con el seguro de vida o se descontará del subsidio </w:t>
      </w:r>
      <w:r w:rsidR="00E3001A">
        <w:t xml:space="preserve">monetario </w:t>
      </w:r>
      <w:r w:rsidRPr="007D34D0">
        <w:t>extraordinario por muerte al que tengan derecho los beneficiarios.</w:t>
      </w:r>
    </w:p>
    <w:p w14:paraId="5094B22E" w14:textId="0FCC55B0" w:rsidR="007D34D0" w:rsidRPr="007D34D0" w:rsidRDefault="007D34D0" w:rsidP="007D34D0">
      <w:pPr>
        <w:numPr>
          <w:ilvl w:val="0"/>
          <w:numId w:val="6"/>
        </w:numPr>
        <w:jc w:val="both"/>
      </w:pPr>
      <w:r w:rsidRPr="007D34D0">
        <w:rPr>
          <w:b/>
          <w:bCs/>
        </w:rPr>
        <w:t>Cláusula Aceleratoria:</w:t>
      </w:r>
      <w:r w:rsidRPr="007D34D0">
        <w:t xml:space="preserve"> COMFABOY podrá exigir el pago inmediato de la totalidad de la deuda por mora</w:t>
      </w:r>
      <w:r w:rsidR="00E3001A">
        <w:t xml:space="preserve"> por</w:t>
      </w:r>
      <w:r w:rsidRPr="007D34D0">
        <w:t xml:space="preserve"> pérdida de calidad de empleado o desafiliación de la empresa a la Caja.</w:t>
      </w:r>
    </w:p>
    <w:p w14:paraId="3A9D3008" w14:textId="77777777" w:rsidR="007D34D0" w:rsidRPr="007D34D0" w:rsidRDefault="007D34D0" w:rsidP="007D34D0">
      <w:pPr>
        <w:jc w:val="both"/>
        <w:rPr>
          <w:b/>
          <w:bCs/>
        </w:rPr>
      </w:pPr>
      <w:r w:rsidRPr="007D34D0">
        <w:rPr>
          <w:b/>
          <w:bCs/>
        </w:rPr>
        <w:t>8. NORMALIZACIÓN Y CASTIGO DE CARTERA</w:t>
      </w:r>
    </w:p>
    <w:p w14:paraId="3B487B8C" w14:textId="3C965BCE" w:rsidR="007D34D0" w:rsidRPr="007D34D0" w:rsidRDefault="007D34D0" w:rsidP="007D34D0">
      <w:pPr>
        <w:numPr>
          <w:ilvl w:val="0"/>
          <w:numId w:val="7"/>
        </w:numPr>
        <w:jc w:val="both"/>
      </w:pPr>
      <w:r w:rsidRPr="007D34D0">
        <w:rPr>
          <w:b/>
          <w:bCs/>
        </w:rPr>
        <w:t>Campañas de normalización:</w:t>
      </w:r>
      <w:r w:rsidRPr="007D34D0">
        <w:t xml:space="preserve"> </w:t>
      </w:r>
      <w:proofErr w:type="spellStart"/>
      <w:r w:rsidR="00E3001A">
        <w:t>Comfaboy</w:t>
      </w:r>
      <w:proofErr w:type="spellEnd"/>
      <w:r w:rsidR="00E3001A">
        <w:t xml:space="preserve"> podrá realizar</w:t>
      </w:r>
      <w:r w:rsidRPr="007D34D0">
        <w:t xml:space="preserve"> </w:t>
      </w:r>
      <w:r w:rsidR="00E3001A">
        <w:t>campañas de normalización</w:t>
      </w:r>
      <w:r w:rsidRPr="007D34D0">
        <w:t xml:space="preserve"> para deudas mayores a 360 días, ofreciendo condonaciones de hasta el 100% de intereses de mora por pago total</w:t>
      </w:r>
      <w:r w:rsidR="00E3001A">
        <w:t>, buscando siempre recuperar mínimo el capital, interés corriente y seguros.</w:t>
      </w:r>
    </w:p>
    <w:p w14:paraId="66B87F20" w14:textId="12378932" w:rsidR="007D34D0" w:rsidRDefault="007D34D0" w:rsidP="007D34D0">
      <w:pPr>
        <w:numPr>
          <w:ilvl w:val="0"/>
          <w:numId w:val="7"/>
        </w:numPr>
        <w:jc w:val="both"/>
      </w:pPr>
      <w:r w:rsidRPr="007D34D0">
        <w:rPr>
          <w:b/>
          <w:bCs/>
        </w:rPr>
        <w:t>Castigo de cartera:</w:t>
      </w:r>
      <w:r w:rsidRPr="007D34D0">
        <w:t xml:space="preserve"> Procede cuando se han agotado todas las etapas de cobro, existe un concepto de incobrabilidad del área jurídica, el deudor es insolvente y la obligación está </w:t>
      </w:r>
      <w:r w:rsidRPr="007D34D0">
        <w:lastRenderedPageBreak/>
        <w:t>provisionada al 100%. El castigo debe ser aprobado por el Comité de Castigo de Cartera y no extingue la obligación solidaria.</w:t>
      </w:r>
      <w:r w:rsidR="003A6B10">
        <w:t xml:space="preserve"> </w:t>
      </w:r>
    </w:p>
    <w:p w14:paraId="6FFACF57" w14:textId="349CE5FC" w:rsidR="00976035" w:rsidRDefault="00976035" w:rsidP="00976035">
      <w:pPr>
        <w:jc w:val="both"/>
      </w:pPr>
      <w:r>
        <w:rPr>
          <w:b/>
          <w:bCs/>
        </w:rPr>
        <w:t>9.</w:t>
      </w:r>
      <w:r>
        <w:t xml:space="preserve"> </w:t>
      </w:r>
      <w:r w:rsidRPr="00976035">
        <w:rPr>
          <w:b/>
          <w:bCs/>
        </w:rPr>
        <w:t>CANALES DE RECAUDO:</w:t>
      </w:r>
    </w:p>
    <w:p w14:paraId="20DB4D88" w14:textId="00D0F3E3" w:rsidR="00976035" w:rsidRDefault="00976035" w:rsidP="00976035">
      <w:pPr>
        <w:jc w:val="both"/>
      </w:pPr>
      <w:r>
        <w:tab/>
        <w:t>Los canales de recaudo autorizados por COMFABOY son los siguientes:</w:t>
      </w:r>
    </w:p>
    <w:p w14:paraId="249A5D1B" w14:textId="77777777" w:rsidR="0028681B" w:rsidRDefault="0028681B" w:rsidP="0028681B">
      <w:pPr>
        <w:pStyle w:val="Prrafodelista"/>
        <w:numPr>
          <w:ilvl w:val="0"/>
          <w:numId w:val="9"/>
        </w:numPr>
        <w:spacing w:after="0" w:line="240" w:lineRule="auto"/>
        <w:contextualSpacing w:val="0"/>
        <w:jc w:val="both"/>
      </w:pPr>
      <w:r>
        <w:rPr>
          <w:b/>
          <w:bCs/>
        </w:rPr>
        <w:t xml:space="preserve">Botón de Pagos PSE: </w:t>
      </w:r>
      <w:r w:rsidRPr="00092FE0">
        <w:t xml:space="preserve">En la página de </w:t>
      </w:r>
      <w:proofErr w:type="spellStart"/>
      <w:r w:rsidRPr="00092FE0">
        <w:t>Comfaboy</w:t>
      </w:r>
      <w:proofErr w:type="spellEnd"/>
      <w:r w:rsidRPr="00092FE0">
        <w:t>, se encuentra habilitado el botón de pagos PSE, que permite</w:t>
      </w:r>
      <w:r>
        <w:rPr>
          <w:b/>
          <w:bCs/>
        </w:rPr>
        <w:t xml:space="preserve"> </w:t>
      </w:r>
      <w:r w:rsidRPr="00CF095A">
        <w:t xml:space="preserve">que </w:t>
      </w:r>
      <w:r>
        <w:t xml:space="preserve">las transacciones de pago </w:t>
      </w:r>
      <w:r w:rsidRPr="00CF095A">
        <w:t>qued</w:t>
      </w:r>
      <w:r>
        <w:t>e</w:t>
      </w:r>
      <w:r w:rsidRPr="00CF095A">
        <w:t>n de manera inmediata en las cuentas de crédito social, evitando tiempos de espera, además, permite identificar, de manera sencilla el originador de la transacción.</w:t>
      </w:r>
      <w:r>
        <w:t xml:space="preserve"> El link es el siguiente:</w:t>
      </w:r>
    </w:p>
    <w:p w14:paraId="50F2A1C2" w14:textId="77777777" w:rsidR="0028681B" w:rsidRDefault="0028681B" w:rsidP="0028681B">
      <w:pPr>
        <w:pStyle w:val="Prrafodelista"/>
      </w:pPr>
    </w:p>
    <w:p w14:paraId="07347E39" w14:textId="77777777" w:rsidR="0028681B" w:rsidRDefault="0028681B" w:rsidP="0028681B">
      <w:pPr>
        <w:pStyle w:val="Prrafodelista"/>
        <w:numPr>
          <w:ilvl w:val="1"/>
          <w:numId w:val="8"/>
        </w:numPr>
        <w:spacing w:after="0" w:line="240" w:lineRule="auto"/>
        <w:contextualSpacing w:val="0"/>
        <w:jc w:val="both"/>
      </w:pPr>
      <w:hyperlink r:id="rId5" w:history="1">
        <w:r w:rsidRPr="00DA0AF4">
          <w:rPr>
            <w:rStyle w:val="Hipervnculo"/>
          </w:rPr>
          <w:t>https://www.comfaboy.com.co/pagonline/login/login.faces</w:t>
        </w:r>
      </w:hyperlink>
      <w:r>
        <w:t xml:space="preserve"> </w:t>
      </w:r>
    </w:p>
    <w:p w14:paraId="7138FA60" w14:textId="77777777" w:rsidR="0028681B" w:rsidRPr="0028681B" w:rsidRDefault="0028681B" w:rsidP="0028681B">
      <w:pPr>
        <w:pStyle w:val="Prrafodelista"/>
        <w:spacing w:after="0" w:line="240" w:lineRule="auto"/>
        <w:ind w:left="420"/>
        <w:contextualSpacing w:val="0"/>
        <w:jc w:val="both"/>
      </w:pPr>
    </w:p>
    <w:p w14:paraId="03F3C9DA" w14:textId="6A3AEA3C" w:rsidR="0028681B" w:rsidRPr="00161574" w:rsidRDefault="0028681B" w:rsidP="0028681B">
      <w:pPr>
        <w:pStyle w:val="Prrafodelista"/>
        <w:numPr>
          <w:ilvl w:val="0"/>
          <w:numId w:val="9"/>
        </w:numPr>
        <w:spacing w:after="0" w:line="240" w:lineRule="auto"/>
        <w:jc w:val="both"/>
      </w:pPr>
      <w:r w:rsidRPr="0028681B">
        <w:rPr>
          <w:b/>
          <w:bCs/>
        </w:rPr>
        <w:t>Recaudo referenciado:</w:t>
      </w:r>
      <w:r w:rsidRPr="00161574">
        <w:t xml:space="preserve"> Permite la plena identificación del originador de la transacción y se puede hacer a través de los siguientes formatos:</w:t>
      </w:r>
    </w:p>
    <w:p w14:paraId="3A93664B" w14:textId="77777777" w:rsidR="0028681B" w:rsidRPr="00CF095A" w:rsidRDefault="0028681B" w:rsidP="0028681B">
      <w:pPr>
        <w:pStyle w:val="Prrafodelista"/>
        <w:rPr>
          <w:b/>
          <w:bCs/>
        </w:rPr>
      </w:pPr>
    </w:p>
    <w:p w14:paraId="43C82AA1" w14:textId="48955B26" w:rsidR="0028681B" w:rsidRDefault="0028681B" w:rsidP="0028681B">
      <w:pPr>
        <w:pStyle w:val="Prrafodelista"/>
        <w:numPr>
          <w:ilvl w:val="1"/>
          <w:numId w:val="8"/>
        </w:numPr>
        <w:spacing w:after="0" w:line="240" w:lineRule="auto"/>
        <w:contextualSpacing w:val="0"/>
        <w:jc w:val="both"/>
      </w:pPr>
      <w:r>
        <w:rPr>
          <w:b/>
          <w:bCs/>
        </w:rPr>
        <w:t xml:space="preserve">A través de formato recaudo empresarial: </w:t>
      </w:r>
      <w:r w:rsidR="003A6B10" w:rsidRPr="003A6B10">
        <w:t>COMFABOY dispone en su portal web de una herramienta de recaudo empresarial diseñada para agilizar el proceso de pago. Este sistema permite la generación de un soporte de pago referenciado con código de barras, compatible con las entidades bancarias vinculadas a la línea de Crédito Social. La automatización de este documento garantiza la identificación oportuna y en línea de las transacciones, minimizando errores en la aplicación de los pagos.</w:t>
      </w:r>
    </w:p>
    <w:p w14:paraId="3F6AD5BF" w14:textId="77777777" w:rsidR="00D75575" w:rsidRDefault="00D75575" w:rsidP="00D75575">
      <w:pPr>
        <w:pStyle w:val="Prrafodelista"/>
        <w:spacing w:after="0" w:line="240" w:lineRule="auto"/>
        <w:ind w:left="1080"/>
        <w:jc w:val="both"/>
      </w:pPr>
    </w:p>
    <w:p w14:paraId="4B1F850E" w14:textId="3A9D4B9F" w:rsidR="0028681B" w:rsidRDefault="0028681B" w:rsidP="0028681B">
      <w:pPr>
        <w:pStyle w:val="Prrafodelista"/>
        <w:numPr>
          <w:ilvl w:val="1"/>
          <w:numId w:val="8"/>
        </w:numPr>
        <w:spacing w:after="0" w:line="240" w:lineRule="auto"/>
        <w:jc w:val="both"/>
      </w:pPr>
      <w:hyperlink r:id="rId6" w:history="1">
        <w:r w:rsidRPr="00DA0AF4">
          <w:rPr>
            <w:rStyle w:val="Hipervnculo"/>
          </w:rPr>
          <w:t>https://www.comfaboy.com.co/aplicaciones/bancos/</w:t>
        </w:r>
      </w:hyperlink>
      <w:r>
        <w:t xml:space="preserve"> </w:t>
      </w:r>
    </w:p>
    <w:p w14:paraId="1EEE938B" w14:textId="419F114A" w:rsidR="00976035" w:rsidRPr="007D34D0" w:rsidRDefault="00976035" w:rsidP="00976035">
      <w:pPr>
        <w:jc w:val="both"/>
      </w:pPr>
      <w:r>
        <w:tab/>
      </w:r>
    </w:p>
    <w:p w14:paraId="251C3D7F" w14:textId="2D755B0C" w:rsidR="007B776D" w:rsidRDefault="007B776D" w:rsidP="007B776D">
      <w:pPr>
        <w:jc w:val="both"/>
        <w:rPr>
          <w:b/>
          <w:bCs/>
        </w:rPr>
      </w:pPr>
      <w:r>
        <w:rPr>
          <w:b/>
          <w:bCs/>
        </w:rPr>
        <w:t>9</w:t>
      </w:r>
      <w:r w:rsidRPr="007B776D">
        <w:rPr>
          <w:b/>
          <w:bCs/>
        </w:rPr>
        <w:t xml:space="preserve">. </w:t>
      </w:r>
      <w:r>
        <w:rPr>
          <w:b/>
          <w:bCs/>
        </w:rPr>
        <w:t>CASA DE COBRANZA AUTORIZADA POR COMFABOY</w:t>
      </w:r>
      <w:r w:rsidR="003A6B10">
        <w:rPr>
          <w:b/>
          <w:bCs/>
        </w:rPr>
        <w:t xml:space="preserve"> VIGENCIA 2026</w:t>
      </w:r>
    </w:p>
    <w:p w14:paraId="144FB682" w14:textId="77777777" w:rsidR="007B776D" w:rsidRDefault="007B776D" w:rsidP="007B776D">
      <w:pPr>
        <w:ind w:left="2124" w:firstLine="708"/>
        <w:jc w:val="both"/>
        <w:rPr>
          <w:b/>
          <w:bCs/>
        </w:rPr>
      </w:pPr>
      <w:r w:rsidRPr="007B776D">
        <w:rPr>
          <w:b/>
          <w:bCs/>
        </w:rPr>
        <w:t xml:space="preserve">ASESCO BPO S.A.S. </w:t>
      </w:r>
    </w:p>
    <w:p w14:paraId="6549451D" w14:textId="77777777" w:rsidR="007B776D" w:rsidRPr="007B776D" w:rsidRDefault="007B776D" w:rsidP="007B776D">
      <w:pPr>
        <w:jc w:val="both"/>
        <w:rPr>
          <w:b/>
          <w:bCs/>
        </w:rPr>
      </w:pPr>
      <w:r w:rsidRPr="007B776D">
        <w:rPr>
          <w:b/>
          <w:bCs/>
        </w:rPr>
        <w:t xml:space="preserve">Horario de atención </w:t>
      </w:r>
    </w:p>
    <w:p w14:paraId="51923338" w14:textId="21EEE80F" w:rsidR="007B776D" w:rsidRPr="007B776D" w:rsidRDefault="007B776D" w:rsidP="007B776D">
      <w:pPr>
        <w:ind w:left="2124"/>
        <w:jc w:val="both"/>
      </w:pPr>
      <w:r w:rsidRPr="007B776D">
        <w:t xml:space="preserve">lunes a viernes 8:00 am - 6:00 pm, </w:t>
      </w:r>
    </w:p>
    <w:p w14:paraId="1A100B17" w14:textId="77777777" w:rsidR="007B776D" w:rsidRPr="007B776D" w:rsidRDefault="007B776D" w:rsidP="007B776D">
      <w:pPr>
        <w:ind w:left="2124"/>
        <w:jc w:val="both"/>
      </w:pPr>
      <w:r w:rsidRPr="007B776D">
        <w:t xml:space="preserve">Sábados 8:00 am 12:00 m. </w:t>
      </w:r>
    </w:p>
    <w:p w14:paraId="336AA4E6" w14:textId="77777777" w:rsidR="007B776D" w:rsidRDefault="007B776D" w:rsidP="007B776D">
      <w:pPr>
        <w:jc w:val="both"/>
        <w:rPr>
          <w:b/>
          <w:bCs/>
        </w:rPr>
      </w:pPr>
      <w:r w:rsidRPr="007B776D">
        <w:rPr>
          <w:b/>
          <w:bCs/>
        </w:rPr>
        <w:t>Teléfono</w:t>
      </w:r>
      <w:r>
        <w:rPr>
          <w:b/>
          <w:bCs/>
        </w:rPr>
        <w:t>s de contacto</w:t>
      </w:r>
      <w:r w:rsidRPr="007B776D">
        <w:rPr>
          <w:b/>
          <w:bCs/>
        </w:rPr>
        <w:t xml:space="preserve"> </w:t>
      </w:r>
    </w:p>
    <w:p w14:paraId="750D5D49" w14:textId="77777777" w:rsidR="007B776D" w:rsidRPr="007B776D" w:rsidRDefault="007B776D" w:rsidP="007B776D">
      <w:pPr>
        <w:ind w:left="1416" w:firstLine="708"/>
        <w:jc w:val="both"/>
      </w:pPr>
      <w:r w:rsidRPr="007B776D">
        <w:t xml:space="preserve">3044390461 y 3023306799 </w:t>
      </w:r>
    </w:p>
    <w:p w14:paraId="4AC395E4" w14:textId="77777777" w:rsidR="007B776D" w:rsidRDefault="007B776D" w:rsidP="007B776D">
      <w:pPr>
        <w:jc w:val="both"/>
        <w:rPr>
          <w:b/>
          <w:bCs/>
        </w:rPr>
      </w:pPr>
      <w:r w:rsidRPr="007B776D">
        <w:rPr>
          <w:b/>
          <w:bCs/>
        </w:rPr>
        <w:t xml:space="preserve">Correo Electrónico </w:t>
      </w:r>
      <w:r>
        <w:rPr>
          <w:b/>
          <w:bCs/>
        </w:rPr>
        <w:tab/>
      </w:r>
    </w:p>
    <w:p w14:paraId="52634088" w14:textId="27D5A910" w:rsidR="007B776D" w:rsidRPr="007B776D" w:rsidRDefault="007B776D" w:rsidP="007B776D">
      <w:pPr>
        <w:ind w:left="1416" w:firstLine="708"/>
        <w:jc w:val="both"/>
        <w:rPr>
          <w:b/>
          <w:bCs/>
        </w:rPr>
      </w:pPr>
      <w:r w:rsidRPr="007B776D">
        <w:t>servicioalcliente@asescobpo.com</w:t>
      </w:r>
    </w:p>
    <w:p w14:paraId="57FF2827" w14:textId="4FBD1D5C" w:rsidR="00472F7E" w:rsidRDefault="00472F7E" w:rsidP="007B776D">
      <w:pPr>
        <w:jc w:val="both"/>
      </w:pPr>
    </w:p>
    <w:sectPr w:rsidR="00472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696"/>
    <w:multiLevelType w:val="multilevel"/>
    <w:tmpl w:val="B43AA31A"/>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Calibri" w:eastAsiaTheme="minorHAnsi"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408F"/>
    <w:multiLevelType w:val="hybridMultilevel"/>
    <w:tmpl w:val="0C5ECC5A"/>
    <w:lvl w:ilvl="0" w:tplc="8F88BB32">
      <w:numFmt w:val="bullet"/>
      <w:lvlText w:val="-"/>
      <w:lvlJc w:val="left"/>
      <w:pPr>
        <w:ind w:left="360" w:hanging="360"/>
      </w:pPr>
      <w:rPr>
        <w:rFonts w:ascii="Cambria" w:eastAsia="MS Mincho" w:hAnsi="Cambri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D50F78"/>
    <w:multiLevelType w:val="multilevel"/>
    <w:tmpl w:val="439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4C5B"/>
    <w:multiLevelType w:val="multilevel"/>
    <w:tmpl w:val="159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C5334"/>
    <w:multiLevelType w:val="multilevel"/>
    <w:tmpl w:val="6144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72CAB"/>
    <w:multiLevelType w:val="multilevel"/>
    <w:tmpl w:val="958C8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C2711"/>
    <w:multiLevelType w:val="hybridMultilevel"/>
    <w:tmpl w:val="BD3EA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E5942CB"/>
    <w:multiLevelType w:val="multilevel"/>
    <w:tmpl w:val="382E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0D2D5B"/>
    <w:multiLevelType w:val="multilevel"/>
    <w:tmpl w:val="8234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845033">
    <w:abstractNumId w:val="4"/>
  </w:num>
  <w:num w:numId="2" w16cid:durableId="1203327931">
    <w:abstractNumId w:val="7"/>
  </w:num>
  <w:num w:numId="3" w16cid:durableId="1082802794">
    <w:abstractNumId w:val="8"/>
  </w:num>
  <w:num w:numId="4" w16cid:durableId="1412190695">
    <w:abstractNumId w:val="2"/>
  </w:num>
  <w:num w:numId="5" w16cid:durableId="1646351411">
    <w:abstractNumId w:val="5"/>
  </w:num>
  <w:num w:numId="6" w16cid:durableId="1816291102">
    <w:abstractNumId w:val="0"/>
  </w:num>
  <w:num w:numId="7" w16cid:durableId="473301094">
    <w:abstractNumId w:val="3"/>
  </w:num>
  <w:num w:numId="8" w16cid:durableId="1260913938">
    <w:abstractNumId w:val="1"/>
  </w:num>
  <w:num w:numId="9" w16cid:durableId="1165054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D0"/>
    <w:rsid w:val="00002D48"/>
    <w:rsid w:val="0028681B"/>
    <w:rsid w:val="00310FA2"/>
    <w:rsid w:val="003A6B10"/>
    <w:rsid w:val="00472F7E"/>
    <w:rsid w:val="00557E1E"/>
    <w:rsid w:val="007B776D"/>
    <w:rsid w:val="007D34D0"/>
    <w:rsid w:val="007D7726"/>
    <w:rsid w:val="008A3461"/>
    <w:rsid w:val="0094748B"/>
    <w:rsid w:val="00976035"/>
    <w:rsid w:val="0099680B"/>
    <w:rsid w:val="009B4A47"/>
    <w:rsid w:val="00C22C33"/>
    <w:rsid w:val="00C54790"/>
    <w:rsid w:val="00C6376C"/>
    <w:rsid w:val="00C84165"/>
    <w:rsid w:val="00D75575"/>
    <w:rsid w:val="00DB415C"/>
    <w:rsid w:val="00DE3ACB"/>
    <w:rsid w:val="00E3001A"/>
    <w:rsid w:val="00F27011"/>
    <w:rsid w:val="00FE5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FEED"/>
  <w15:chartTrackingRefBased/>
  <w15:docId w15:val="{DD918CFC-C26B-4859-A829-AA3201B3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3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34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34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34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34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34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34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34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4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34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34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34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34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34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34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34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34D0"/>
    <w:rPr>
      <w:rFonts w:eastAsiaTheme="majorEastAsia" w:cstheme="majorBidi"/>
      <w:color w:val="272727" w:themeColor="text1" w:themeTint="D8"/>
    </w:rPr>
  </w:style>
  <w:style w:type="paragraph" w:styleId="Ttulo">
    <w:name w:val="Title"/>
    <w:basedOn w:val="Normal"/>
    <w:next w:val="Normal"/>
    <w:link w:val="TtuloCar"/>
    <w:uiPriority w:val="10"/>
    <w:qFormat/>
    <w:rsid w:val="007D3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34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34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34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34D0"/>
    <w:pPr>
      <w:spacing w:before="160"/>
      <w:jc w:val="center"/>
    </w:pPr>
    <w:rPr>
      <w:i/>
      <w:iCs/>
      <w:color w:val="404040" w:themeColor="text1" w:themeTint="BF"/>
    </w:rPr>
  </w:style>
  <w:style w:type="character" w:customStyle="1" w:styleId="CitaCar">
    <w:name w:val="Cita Car"/>
    <w:basedOn w:val="Fuentedeprrafopredeter"/>
    <w:link w:val="Cita"/>
    <w:uiPriority w:val="29"/>
    <w:rsid w:val="007D34D0"/>
    <w:rPr>
      <w:i/>
      <w:iCs/>
      <w:color w:val="404040" w:themeColor="text1" w:themeTint="BF"/>
    </w:rPr>
  </w:style>
  <w:style w:type="paragraph" w:styleId="Prrafodelista">
    <w:name w:val="List Paragraph"/>
    <w:basedOn w:val="Normal"/>
    <w:uiPriority w:val="72"/>
    <w:qFormat/>
    <w:rsid w:val="007D34D0"/>
    <w:pPr>
      <w:ind w:left="720"/>
      <w:contextualSpacing/>
    </w:pPr>
  </w:style>
  <w:style w:type="character" w:styleId="nfasisintenso">
    <w:name w:val="Intense Emphasis"/>
    <w:basedOn w:val="Fuentedeprrafopredeter"/>
    <w:uiPriority w:val="21"/>
    <w:qFormat/>
    <w:rsid w:val="007D34D0"/>
    <w:rPr>
      <w:i/>
      <w:iCs/>
      <w:color w:val="2F5496" w:themeColor="accent1" w:themeShade="BF"/>
    </w:rPr>
  </w:style>
  <w:style w:type="paragraph" w:styleId="Citadestacada">
    <w:name w:val="Intense Quote"/>
    <w:basedOn w:val="Normal"/>
    <w:next w:val="Normal"/>
    <w:link w:val="CitadestacadaCar"/>
    <w:uiPriority w:val="30"/>
    <w:qFormat/>
    <w:rsid w:val="007D3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34D0"/>
    <w:rPr>
      <w:i/>
      <w:iCs/>
      <w:color w:val="2F5496" w:themeColor="accent1" w:themeShade="BF"/>
    </w:rPr>
  </w:style>
  <w:style w:type="character" w:styleId="Referenciaintensa">
    <w:name w:val="Intense Reference"/>
    <w:basedOn w:val="Fuentedeprrafopredeter"/>
    <w:uiPriority w:val="32"/>
    <w:qFormat/>
    <w:rsid w:val="007D34D0"/>
    <w:rPr>
      <w:b/>
      <w:bCs/>
      <w:smallCaps/>
      <w:color w:val="2F5496" w:themeColor="accent1" w:themeShade="BF"/>
      <w:spacing w:val="5"/>
    </w:rPr>
  </w:style>
  <w:style w:type="character" w:styleId="Hipervnculo">
    <w:name w:val="Hyperlink"/>
    <w:basedOn w:val="Fuentedeprrafopredeter"/>
    <w:uiPriority w:val="99"/>
    <w:unhideWhenUsed/>
    <w:rsid w:val="002868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faboy.com.co/aplicaciones/bancos/" TargetMode="External"/><Relationship Id="rId5" Type="http://schemas.openxmlformats.org/officeDocument/2006/relationships/hyperlink" Target="https://www.comfaboy.com.co/pagonline/login/login.fac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Barajas</dc:creator>
  <cp:keywords/>
  <dc:description/>
  <cp:lastModifiedBy>Manuel Barajas</cp:lastModifiedBy>
  <cp:revision>2</cp:revision>
  <dcterms:created xsi:type="dcterms:W3CDTF">2026-04-24T17:27:00Z</dcterms:created>
  <dcterms:modified xsi:type="dcterms:W3CDTF">2026-04-24T17:27:00Z</dcterms:modified>
</cp:coreProperties>
</file>